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footer+xml" PartName="/word/footer1.xml"/>
  <Override ContentType="application/vnd.openxmlformats-officedocument.wordprocessingml.footer+xml" PartName="/word/footer2.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tbl>
      <w:tblPr>
        <w:tblW w:type="pct" w:w="100%"/>
        <w:tblBorders>
          <w:top w:val="none" w:color="FFFFFF" w:sz="0"/>
          <w:left w:val="none" w:color="FFFFFF" w:sz="0"/>
          <w:bottom w:val="none" w:color="FFFFFF" w:sz="0"/>
          <w:right w:val="none" w:color="FFFFFF" w:sz="0"/>
          <w:insideH w:val="none" w:color="FFFFFF" w:sz="0"/>
          <w:insideV w:val="none" w:color="FFFFFF" w:sz="0"/>
        </w:tblBorders>
      </w:tblPr>
      <w:tblGrid>
        <w:gridCol w:w="4700"/>
        <w:gridCol w:w="4700"/>
      </w:tblGrid>
      <w:tr>
        <w:tc>
          <w:tcPr>
            <w:tcW w:type="pct" w:w="50%"/>
            <w:tcBorders>
              <w:top w:val="none" w:color="FFFFFF" w:sz="0"/>
              <w:left w:val="none" w:color="FFFFFF" w:sz="0"/>
              <w:bottom w:val="none" w:color="FFFFFF" w:sz="0"/>
              <w:right w:val="none" w:color="FFFFFF" w:sz="0"/>
            </w:tcBorders>
            <w:tcMar>
              <w:top w:type="dxa" w:w="0"/>
              <w:left w:type="dxa" w:w="0"/>
              <w:bottom w:type="dxa" w:w="0"/>
              <w:right w:type="dxa" w:w="0"/>
            </w:tcMar>
            <w:vAlign w:val="top"/>
          </w:tcPr>
          <w:p>
            <w:pPr>
              <w:spacing w:after="0" w:line="240"/>
              <w:jc w:val="left"/>
            </w:pPr>
            <w:r>
              <w:rPr>
                <w:rFonts w:ascii="Times New Roman" w:cs="Times New Roman" w:eastAsia="Times New Roman" w:hAnsi="Times New Roman"/>
                <w:b w:val="false"/>
                <w:bCs w:val="false"/>
                <w:i w:val="false"/>
                <w:iCs w:val="false"/>
                <w:sz w:val="24"/>
                <w:szCs w:val="24"/>
              </w:rPr>
              <w:t xml:space="preserve">[организационно-правовая форма,</w:t>
            </w:r>
          </w:p>
          <w:p>
            <w:pPr>
              <w:spacing w:after="0" w:line="240"/>
              <w:jc w:val="left"/>
            </w:pPr>
            <w:r>
              <w:rPr>
                <w:rFonts w:ascii="Times New Roman" w:cs="Times New Roman" w:eastAsia="Times New Roman" w:hAnsi="Times New Roman"/>
                <w:b w:val="false"/>
                <w:bCs w:val="false"/>
                <w:i w:val="false"/>
                <w:iCs w:val="false"/>
                <w:sz w:val="24"/>
                <w:szCs w:val="24"/>
              </w:rPr>
              <w:t xml:space="preserve">полное наименование</w:t>
            </w:r>
          </w:p>
          <w:p>
            <w:pPr>
              <w:spacing w:after="0" w:line="240"/>
              <w:jc w:val="left"/>
            </w:pPr>
            <w:r>
              <w:rPr>
                <w:rFonts w:ascii="Times New Roman" w:cs="Times New Roman" w:eastAsia="Times New Roman" w:hAnsi="Times New Roman"/>
                <w:b w:val="false"/>
                <w:bCs w:val="false"/>
                <w:i w:val="false"/>
                <w:iCs w:val="false"/>
                <w:sz w:val="24"/>
                <w:szCs w:val="24"/>
              </w:rPr>
              <w:t xml:space="preserve">общеобразовательной организации]</w:t>
            </w:r>
          </w:p>
        </w:tc>
        <w:tc>
          <w:tcPr>
            <w:tcW w:type="pct" w:w="50%"/>
            <w:tcBorders>
              <w:top w:val="none" w:color="FFFFFF" w:sz="0"/>
              <w:left w:val="none" w:color="FFFFFF" w:sz="0"/>
              <w:bottom w:val="none" w:color="FFFFFF" w:sz="0"/>
              <w:right w:val="none" w:color="FFFFFF" w:sz="0"/>
            </w:tcBorders>
            <w:tcMar>
              <w:top w:type="dxa" w:w="0"/>
              <w:left w:type="dxa" w:w="0"/>
              <w:bottom w:type="dxa" w:w="0"/>
              <w:right w:type="dxa" w:w="0"/>
            </w:tcMar>
            <w:vAlign w:val="top"/>
          </w:tcPr>
          <w:p>
            <w:pPr>
              <w:spacing w:after="0" w:line="240"/>
              <w:jc w:val="left"/>
            </w:pPr>
            <w:r>
              <w:rPr>
                <w:rFonts w:ascii="Times New Roman" w:cs="Times New Roman" w:eastAsia="Times New Roman" w:hAnsi="Times New Roman"/>
                <w:b w:val="false"/>
                <w:bCs w:val="false"/>
                <w:i w:val="false"/>
                <w:iCs w:val="false"/>
                <w:sz w:val="24"/>
                <w:szCs w:val="24"/>
              </w:rPr>
              <w:t xml:space="preserve">УТВЕРЖДАЮ</w:t>
            </w:r>
          </w:p>
          <w:p>
            <w:pPr>
              <w:spacing w:after="0" w:line="240"/>
              <w:jc w:val="left"/>
            </w:pPr>
            <w:r>
              <w:rPr>
                <w:rFonts w:ascii="Times New Roman" w:cs="Times New Roman" w:eastAsia="Times New Roman" w:hAnsi="Times New Roman"/>
                <w:b w:val="false"/>
                <w:bCs w:val="false"/>
                <w:i w:val="false"/>
                <w:iCs w:val="false"/>
                <w:sz w:val="24"/>
                <w:szCs w:val="24"/>
              </w:rPr>
              <w:t xml:space="preserve"/>
            </w:r>
          </w:p>
          <w:p>
            <w:pPr>
              <w:spacing w:after="0" w:line="240"/>
              <w:jc w:val="left"/>
            </w:pPr>
            <w:r>
              <w:rPr>
                <w:rFonts w:ascii="Times New Roman" w:cs="Times New Roman" w:eastAsia="Times New Roman" w:hAnsi="Times New Roman"/>
                <w:b w:val="false"/>
                <w:bCs w:val="false"/>
                <w:i w:val="false"/>
                <w:iCs w:val="false"/>
                <w:sz w:val="24"/>
                <w:szCs w:val="24"/>
              </w:rPr>
              <w:t xml:space="preserve">Директор</w:t>
            </w:r>
          </w:p>
          <w:p>
            <w:pPr>
              <w:spacing w:after="0" w:line="240"/>
              <w:jc w:val="left"/>
            </w:pPr>
            <w:r>
              <w:rPr>
                <w:rFonts w:ascii="Times New Roman" w:cs="Times New Roman" w:eastAsia="Times New Roman" w:hAnsi="Times New Roman"/>
                <w:b w:val="false"/>
                <w:bCs w:val="false"/>
                <w:i w:val="false"/>
                <w:iCs w:val="false"/>
                <w:sz w:val="24"/>
                <w:szCs w:val="24"/>
              </w:rPr>
              <w:t xml:space="preserve">[наименование Организации]</w:t>
            </w:r>
          </w:p>
          <w:p>
            <w:pPr>
              <w:spacing w:after="0" w:line="240"/>
              <w:jc w:val="left"/>
            </w:pPr>
            <w:r>
              <w:rPr>
                <w:rFonts w:ascii="Times New Roman" w:cs="Times New Roman" w:eastAsia="Times New Roman" w:hAnsi="Times New Roman"/>
                <w:b w:val="false"/>
                <w:bCs w:val="false"/>
                <w:i w:val="false"/>
                <w:iCs w:val="false"/>
                <w:sz w:val="24"/>
                <w:szCs w:val="24"/>
              </w:rPr>
              <w:t xml:space="preserve"/>
            </w:r>
          </w:p>
          <w:p>
            <w:pPr>
              <w:spacing w:after="0" w:line="240"/>
              <w:jc w:val="left"/>
            </w:pPr>
            <w:r>
              <w:rPr>
                <w:rFonts w:ascii="Times New Roman" w:cs="Times New Roman" w:eastAsia="Times New Roman" w:hAnsi="Times New Roman"/>
                <w:b w:val="false"/>
                <w:bCs w:val="false"/>
                <w:i w:val="false"/>
                <w:iCs w:val="false"/>
                <w:sz w:val="24"/>
                <w:szCs w:val="24"/>
              </w:rPr>
              <w:t xml:space="preserve">_______________ /_________________/</w:t>
            </w:r>
          </w:p>
          <w:p>
            <w:pPr>
              <w:spacing w:after="0" w:line="240"/>
              <w:jc w:val="left"/>
            </w:pPr>
            <w:r>
              <w:rPr>
                <w:rFonts w:ascii="Times New Roman" w:cs="Times New Roman" w:eastAsia="Times New Roman" w:hAnsi="Times New Roman"/>
                <w:b w:val="false"/>
                <w:bCs w:val="false"/>
                <w:i w:val="false"/>
                <w:iCs w:val="false"/>
                <w:sz w:val="18"/>
                <w:szCs w:val="18"/>
              </w:rPr>
              <w:t xml:space="preserve">     (подпись)          (И. О. Фамилия)</w:t>
            </w:r>
          </w:p>
          <w:p>
            <w:pPr>
              <w:spacing w:after="0" w:line="240"/>
              <w:jc w:val="left"/>
            </w:pPr>
            <w:r>
              <w:rPr>
                <w:rFonts w:ascii="Times New Roman" w:cs="Times New Roman" w:eastAsia="Times New Roman" w:hAnsi="Times New Roman"/>
                <w:b w:val="false"/>
                <w:bCs w:val="false"/>
                <w:i w:val="false"/>
                <w:iCs w:val="false"/>
                <w:sz w:val="24"/>
                <w:szCs w:val="24"/>
              </w:rPr>
              <w:t xml:space="preserve"/>
            </w:r>
          </w:p>
          <w:p>
            <w:pPr>
              <w:spacing w:after="0" w:line="240"/>
              <w:jc w:val="left"/>
            </w:pPr>
            <w:r>
              <w:rPr>
                <w:rFonts w:ascii="Times New Roman" w:cs="Times New Roman" w:eastAsia="Times New Roman" w:hAnsi="Times New Roman"/>
                <w:b w:val="false"/>
                <w:bCs w:val="false"/>
                <w:i w:val="false"/>
                <w:iCs w:val="false"/>
                <w:sz w:val="24"/>
                <w:szCs w:val="24"/>
              </w:rPr>
              <w:t xml:space="preserve">«____» _______________ 20____ г.</w:t>
            </w:r>
          </w:p>
          <w:p>
            <w:pPr>
              <w:spacing w:after="0" w:line="240"/>
              <w:jc w:val="left"/>
            </w:pPr>
            <w:r>
              <w:rPr>
                <w:rFonts w:ascii="Times New Roman" w:cs="Times New Roman" w:eastAsia="Times New Roman" w:hAnsi="Times New Roman"/>
                <w:b w:val="false"/>
                <w:bCs w:val="false"/>
                <w:i w:val="false"/>
                <w:iCs w:val="false"/>
                <w:sz w:val="24"/>
                <w:szCs w:val="24"/>
              </w:rPr>
              <w:t xml:space="preserve"/>
            </w:r>
          </w:p>
          <w:p>
            <w:pPr>
              <w:spacing w:after="0" w:line="240"/>
              <w:jc w:val="left"/>
            </w:pPr>
            <w:r>
              <w:rPr>
                <w:rFonts w:ascii="Times New Roman" w:cs="Times New Roman" w:eastAsia="Times New Roman" w:hAnsi="Times New Roman"/>
                <w:b w:val="false"/>
                <w:bCs w:val="false"/>
                <w:i w:val="false"/>
                <w:iCs w:val="false"/>
                <w:sz w:val="24"/>
                <w:szCs w:val="24"/>
              </w:rPr>
              <w:t xml:space="preserve">М. П.</w:t>
            </w:r>
          </w:p>
        </w:tc>
      </w:tr>
    </w:tbl>
    <w:p>
      <w:pPr>
        <w:spacing w:after="200" w:before="0" w:line="276"/>
        <w:ind w:left="0" w:firstLine="0"/>
        <w:jc w:val="both"/>
      </w:pPr>
      <w:r>
        <w:rPr>
          <w:rFonts w:ascii="Times New Roman" w:cs="Times New Roman" w:eastAsia="Times New Roman" w:hAnsi="Times New Roman"/>
          <w:b w:val="false"/>
          <w:bCs w:val="false"/>
          <w:i w:val="false"/>
          <w:iCs w:val="false"/>
          <w:caps w:val="false"/>
          <w:sz w:val="24"/>
          <w:szCs w:val="24"/>
        </w:rPr>
        <w:t xml:space="preserve"/>
      </w:r>
    </w:p>
    <w:p>
      <w:pPr>
        <w:spacing w:after="60" w:before="120" w:line="276"/>
        <w:jc w:val="center"/>
      </w:pPr>
      <w:r>
        <w:rPr>
          <w:rFonts w:ascii="Times New Roman" w:cs="Times New Roman" w:eastAsia="Times New Roman" w:hAnsi="Times New Roman"/>
          <w:b/>
          <w:bCs/>
          <w:sz w:val="28"/>
          <w:szCs w:val="28"/>
        </w:rPr>
        <w:t xml:space="preserve">ДОЛЖНОСТНАЯ ИНСТРУКЦИЯ</w:t>
      </w:r>
    </w:p>
    <w:p>
      <w:pPr>
        <w:spacing w:after="60" w:line="276"/>
        <w:jc w:val="center"/>
      </w:pPr>
      <w:r>
        <w:rPr>
          <w:rFonts w:ascii="Times New Roman" w:cs="Times New Roman" w:eastAsia="Times New Roman" w:hAnsi="Times New Roman"/>
          <w:b/>
          <w:bCs/>
          <w:sz w:val="28"/>
          <w:szCs w:val="28"/>
        </w:rPr>
        <w:t xml:space="preserve">учителя</w:t>
      </w:r>
    </w:p>
    <w:p>
      <w:pPr>
        <w:spacing w:after="240" w:line="276"/>
        <w:jc w:val="center"/>
      </w:pPr>
      <w:r>
        <w:rPr>
          <w:rFonts w:ascii="Times New Roman" w:cs="Times New Roman" w:eastAsia="Times New Roman" w:hAnsi="Times New Roman"/>
          <w:sz w:val="24"/>
          <w:szCs w:val="24"/>
        </w:rPr>
        <w:t xml:space="preserve">[наименование общеобразовательной организации]</w:t>
      </w:r>
    </w:p>
    <w:tbl>
      <w:tblPr>
        <w:tblW w:type="pct" w:w="100%"/>
        <w:tblBorders>
          <w:top w:val="none" w:color="FFFFFF" w:sz="0"/>
          <w:left w:val="none" w:color="FFFFFF" w:sz="0"/>
          <w:bottom w:val="none" w:color="FFFFFF" w:sz="0"/>
          <w:right w:val="none" w:color="FFFFFF" w:sz="0"/>
          <w:insideH w:val="none" w:color="FFFFFF" w:sz="0"/>
          <w:insideV w:val="none" w:color="FFFFFF" w:sz="0"/>
        </w:tblBorders>
      </w:tblPr>
      <w:tblGrid>
        <w:gridCol w:w="4700"/>
        <w:gridCol w:w="4700"/>
      </w:tblGrid>
      <w:tr>
        <w:tc>
          <w:tcPr>
            <w:tcW w:type="pct" w:w="50%"/>
            <w:tcBorders>
              <w:top w:val="none" w:color="FFFFFF" w:sz="0"/>
              <w:left w:val="none" w:color="FFFFFF" w:sz="0"/>
              <w:bottom w:val="none" w:color="FFFFFF" w:sz="0"/>
              <w:right w:val="none" w:color="FFFFFF" w:sz="0"/>
            </w:tcBorders>
            <w:tcMar>
              <w:top w:type="dxa" w:w="0"/>
              <w:left w:type="dxa" w:w="0"/>
              <w:bottom w:type="dxa" w:w="0"/>
              <w:right w:type="dxa" w:w="0"/>
            </w:tcMar>
            <w:vAlign w:val="top"/>
          </w:tcPr>
          <w:p>
            <w:pPr>
              <w:spacing w:after="0" w:line="240"/>
              <w:jc w:val="left"/>
            </w:pPr>
            <w:r>
              <w:rPr>
                <w:rFonts w:ascii="Times New Roman" w:cs="Times New Roman" w:eastAsia="Times New Roman" w:hAnsi="Times New Roman"/>
                <w:b w:val="false"/>
                <w:bCs w:val="false"/>
                <w:i w:val="false"/>
                <w:iCs w:val="false"/>
                <w:sz w:val="24"/>
                <w:szCs w:val="24"/>
              </w:rPr>
              <w:t xml:space="preserve">«____» ____________ 20____ г.   № ________</w:t>
            </w:r>
          </w:p>
        </w:tc>
        <w:tc>
          <w:tcPr>
            <w:tcW w:type="pct" w:w="50%"/>
            <w:tcBorders>
              <w:top w:val="none" w:color="FFFFFF" w:sz="0"/>
              <w:left w:val="none" w:color="FFFFFF" w:sz="0"/>
              <w:bottom w:val="none" w:color="FFFFFF" w:sz="0"/>
              <w:right w:val="none" w:color="FFFFFF" w:sz="0"/>
            </w:tcBorders>
            <w:tcMar>
              <w:top w:type="dxa" w:w="0"/>
              <w:left w:type="dxa" w:w="0"/>
              <w:bottom w:type="dxa" w:w="0"/>
              <w:right w:type="dxa" w:w="0"/>
            </w:tcMar>
            <w:vAlign w:val="top"/>
          </w:tcPr>
          <w:p>
            <w:pPr>
              <w:spacing w:after="0" w:line="240"/>
              <w:jc w:val="right"/>
            </w:pPr>
            <w:r>
              <w:rPr>
                <w:rFonts w:ascii="Times New Roman" w:cs="Times New Roman" w:eastAsia="Times New Roman" w:hAnsi="Times New Roman"/>
                <w:b w:val="false"/>
                <w:bCs w:val="false"/>
                <w:i w:val="false"/>
                <w:iCs w:val="false"/>
                <w:sz w:val="24"/>
                <w:szCs w:val="24"/>
              </w:rPr>
              <w:t xml:space="preserve">[место составления (издания)]</w:t>
            </w:r>
          </w:p>
        </w:tc>
      </w:tr>
    </w:tbl>
    <w:p>
      <w:pPr>
        <w:spacing w:after="200" w:before="0" w:line="276"/>
        <w:ind w:left="0" w:firstLine="0"/>
        <w:jc w:val="both"/>
      </w:pPr>
      <w:r>
        <w:rPr>
          <w:rFonts w:ascii="Times New Roman" w:cs="Times New Roman" w:eastAsia="Times New Roman" w:hAnsi="Times New Roman"/>
          <w:b w:val="false"/>
          <w:bCs w:val="false"/>
          <w:i w:val="false"/>
          <w:iCs w:val="false"/>
          <w:caps w:val="false"/>
          <w:sz w:val="24"/>
          <w:szCs w:val="24"/>
        </w:rPr>
        <w:t xml:space="preserve"/>
      </w:r>
    </w:p>
    <w:p>
      <w:pPr>
        <w:spacing w:after="120" w:before="0" w:line="276"/>
        <w:ind w:left="0" w:firstLine="708"/>
        <w:jc w:val="both"/>
      </w:pPr>
      <w:r>
        <w:rPr>
          <w:rFonts w:ascii="Times New Roman" w:cs="Times New Roman" w:eastAsia="Times New Roman" w:hAnsi="Times New Roman"/>
          <w:b w:val="false"/>
          <w:bCs w:val="false"/>
          <w:i w:val="false"/>
          <w:iCs w:val="false"/>
          <w:caps w:val="false"/>
          <w:sz w:val="24"/>
          <w:szCs w:val="24"/>
        </w:rPr>
        <w:t xml:space="preserve">Настоящая должностная инструкция разработана и утверждена в соответствии с положениями Трудового кодекса Российской Федерации, Федерального закона от 29 декабря 2012 г. № 273-ФЗ «Об образовании в Российской Федерации», профессионального стандарта «Педагог (педагогическая деятельность в сфере дошкольного, начального общего, основного общего, среднего общего образования) (воспитатель, учитель)», утверждённого приказом Минтруда России от 18 октября 2013 г. № 544н, Единого квалификационного справочника должностей руководителей, специалистов и служащих, раздел «Квалификационные характеристики должностей работников образования» (приказ Минздравсоцразвития России от 26 августа 2010 г. № 761н) и иных нормативных правовых актов, регулирующих трудовые правоотношения.</w:t>
      </w:r>
    </w:p>
    <w:p>
      <w:pPr>
        <w:spacing w:after="120" w:before="0" w:line="276"/>
        <w:ind w:left="0" w:firstLine="708"/>
        <w:jc w:val="both"/>
      </w:pPr>
      <w:r>
        <w:rPr>
          <w:rFonts w:ascii="Times New Roman" w:cs="Times New Roman" w:eastAsia="Times New Roman" w:hAnsi="Times New Roman"/>
          <w:b w:val="false"/>
          <w:bCs w:val="false"/>
          <w:i w:val="false"/>
          <w:iCs w:val="false"/>
          <w:caps w:val="false"/>
          <w:sz w:val="24"/>
          <w:szCs w:val="24"/>
        </w:rPr>
        <w:t xml:space="preserve">Далее по тексту настоящей инструкции под Организацией понимается общеобразовательная организация, под работником — работник, замещающий должность «Учитель», под обучающимися — лица, осваивающие образовательные программы начального общего, основного общего и среднего общего образования.</w:t>
      </w:r>
    </w:p>
    <w:p>
      <w:pPr>
        <w:pStyle w:val="Heading1"/>
        <w:keepNext/>
        <w:spacing w:after="120" w:before="240" w:line="276"/>
        <w:jc w:val="center"/>
      </w:pPr>
      <w:r>
        <w:rPr>
          <w:rFonts w:ascii="Times New Roman" w:cs="Times New Roman" w:eastAsia="Times New Roman" w:hAnsi="Times New Roman"/>
          <w:b/>
          <w:bCs/>
          <w:sz w:val="24"/>
          <w:szCs w:val="24"/>
        </w:rPr>
        <w:t xml:space="preserve">1. Общие положения</w:t>
      </w:r>
    </w:p>
    <w:p>
      <w:pPr>
        <w:spacing w:after="60" w:line="276"/>
        <w:ind w:left="0" w:firstLine="708"/>
        <w:jc w:val="both"/>
      </w:pPr>
      <w:r>
        <w:rPr>
          <w:rFonts w:ascii="Times New Roman" w:cs="Times New Roman" w:eastAsia="Times New Roman" w:hAnsi="Times New Roman"/>
          <w:sz w:val="24"/>
          <w:szCs w:val="24"/>
        </w:rPr>
        <w:t xml:space="preserve">1.1. Учитель относится к категории педагогических работников. Должность предусмотрена подразделом 2 раздела I номенклатуры должностей педагогических работников организаций, осуществляющих образовательную деятельность, должностей руководителей образовательных организаций (постановление Правительства Российской Федерации от 21 февраля 2022 г. № 225).</w:t>
      </w:r>
    </w:p>
    <w:p>
      <w:pPr>
        <w:spacing w:after="60" w:line="276"/>
        <w:ind w:left="0" w:firstLine="708"/>
        <w:jc w:val="both"/>
      </w:pPr>
      <w:r>
        <w:rPr>
          <w:rFonts w:ascii="Times New Roman" w:cs="Times New Roman" w:eastAsia="Times New Roman" w:hAnsi="Times New Roman"/>
          <w:sz w:val="24"/>
          <w:szCs w:val="24"/>
        </w:rPr>
        <w:t xml:space="preserve">1.2. Учитель назначается на должность и освобождается от должности приказом директора Организации.</w:t>
      </w:r>
    </w:p>
    <w:p>
      <w:pPr>
        <w:spacing w:after="60" w:line="276"/>
        <w:ind w:left="0" w:firstLine="708"/>
        <w:jc w:val="both"/>
      </w:pPr>
      <w:r>
        <w:rPr>
          <w:rFonts w:ascii="Times New Roman" w:cs="Times New Roman" w:eastAsia="Times New Roman" w:hAnsi="Times New Roman"/>
          <w:sz w:val="24"/>
          <w:szCs w:val="24"/>
        </w:rPr>
        <w:t xml:space="preserve">1.3. Учитель непосредственно подчиняется заместителю директора по учебно-воспитательной работе, а по вопросам, отнесённым к компетенции иных заместителей, — соответствующему заместителю директора.</w:t>
      </w:r>
    </w:p>
    <w:p>
      <w:pPr>
        <w:spacing w:after="60" w:line="276"/>
        <w:ind w:left="0" w:firstLine="708"/>
        <w:jc w:val="both"/>
      </w:pPr>
      <w:r>
        <w:rPr>
          <w:rFonts w:ascii="Times New Roman" w:cs="Times New Roman" w:eastAsia="Times New Roman" w:hAnsi="Times New Roman"/>
          <w:sz w:val="24"/>
          <w:szCs w:val="24"/>
        </w:rPr>
        <w:t xml:space="preserve">1.4. Квалификационные требования: высшее образование или среднее профессиональное образование в рамках укрупнённых групп направлений подготовки высшего образования и специальностей среднего профессионального образования «Образование и педагогические науки» либо высшее образование или среднее профессиональное образование и дополнительное профессиональное образование по направлению деятельности в образовательной организации. Требования к стажу работы не предъявляются. Если высшее или среднее профессиональное образование получено по направлению подготовки (специальности), соответствующему преподаваемому учебному предмету, дополнительное профессиональное образование по направлению деятельности в образовательной организации не требуется (письмо Минпросвещения России от 28 марта 2019 г. № ТС-817/08).</w:t>
      </w:r>
    </w:p>
    <w:p>
      <w:pPr>
        <w:spacing w:after="60" w:line="276"/>
        <w:ind w:left="0" w:firstLine="708"/>
        <w:jc w:val="both"/>
      </w:pPr>
      <w:r>
        <w:rPr>
          <w:rFonts w:ascii="Times New Roman" w:cs="Times New Roman" w:eastAsia="Times New Roman" w:hAnsi="Times New Roman"/>
          <w:sz w:val="24"/>
          <w:szCs w:val="24"/>
        </w:rPr>
        <w:t xml:space="preserve">1.5. В соответствии со статьёй 331 ТК РФ и статьёй 46 Федерального закона от 29 декабря 2012 г. № 273-ФЗ «Об образовании в Российской Федерации» к педагогической деятельности не допускается лицо:</w:t>
      </w:r>
    </w:p>
    <w:p>
      <w:pPr>
        <w:spacing w:after="40" w:line="276"/>
        <w:ind w:left="708" w:firstLine="0"/>
        <w:jc w:val="both"/>
      </w:pPr>
      <w:r>
        <w:rPr>
          <w:rFonts w:ascii="Times New Roman" w:cs="Times New Roman" w:eastAsia="Times New Roman" w:hAnsi="Times New Roman"/>
          <w:sz w:val="24"/>
          <w:szCs w:val="24"/>
        </w:rPr>
        <w:t xml:space="preserve">— лишённое права заниматься педагогической деятельностью в соответствии с вступившим в законную силу приговором суда;</w:t>
      </w:r>
    </w:p>
    <w:p>
      <w:pPr>
        <w:spacing w:after="40" w:line="276"/>
        <w:ind w:left="708" w:firstLine="0"/>
        <w:jc w:val="both"/>
      </w:pPr>
      <w:r>
        <w:rPr>
          <w:rFonts w:ascii="Times New Roman" w:cs="Times New Roman" w:eastAsia="Times New Roman" w:hAnsi="Times New Roman"/>
          <w:sz w:val="24"/>
          <w:szCs w:val="24"/>
        </w:rPr>
        <w:t xml:space="preserve">— имеющее или имевшее судимость, подвергавшееся уголовному преследованию (за исключением лиц, уголовное преследование в отношении которых прекращено по реабилитирующим основаниям) за преступления против жизни и здоровья, свободы, чести и достоинства личности (за исключением незаконной госпитализации в медицинскую организацию, оказывающую психиатрическую помощь в стационарных условиях, и клеветы), половой неприкосновенности и половой свободы личности, против семьи и несовершеннолетних, здоровья населения и общественной нравственности, основ конституционного строя и безопасности государства, мира и безопасности человечества, а также против общественной безопасности, за исключением случаев, предусмотренных частью третьей статьи 331 ТК РФ;</w:t>
      </w:r>
    </w:p>
    <w:p>
      <w:pPr>
        <w:spacing w:after="40" w:line="276"/>
        <w:ind w:left="708" w:firstLine="0"/>
        <w:jc w:val="both"/>
      </w:pPr>
      <w:r>
        <w:rPr>
          <w:rFonts w:ascii="Times New Roman" w:cs="Times New Roman" w:eastAsia="Times New Roman" w:hAnsi="Times New Roman"/>
          <w:sz w:val="24"/>
          <w:szCs w:val="24"/>
        </w:rPr>
        <w:t xml:space="preserve">— имеющее неснятую или непогашенную судимость за иные умышленные тяжкие и особо тяжкие преступления;</w:t>
      </w:r>
    </w:p>
    <w:p>
      <w:pPr>
        <w:spacing w:after="40" w:line="276"/>
        <w:ind w:left="708" w:firstLine="0"/>
        <w:jc w:val="both"/>
      </w:pPr>
      <w:r>
        <w:rPr>
          <w:rFonts w:ascii="Times New Roman" w:cs="Times New Roman" w:eastAsia="Times New Roman" w:hAnsi="Times New Roman"/>
          <w:sz w:val="24"/>
          <w:szCs w:val="24"/>
        </w:rPr>
        <w:t xml:space="preserve">— признанное недееспособным в установленном федеральным законом порядке;</w:t>
      </w:r>
    </w:p>
    <w:p>
      <w:pPr>
        <w:spacing w:after="40" w:line="276"/>
        <w:ind w:left="708" w:firstLine="0"/>
        <w:jc w:val="both"/>
      </w:pPr>
      <w:r>
        <w:rPr>
          <w:rFonts w:ascii="Times New Roman" w:cs="Times New Roman" w:eastAsia="Times New Roman" w:hAnsi="Times New Roman"/>
          <w:sz w:val="24"/>
          <w:szCs w:val="24"/>
        </w:rPr>
        <w:t xml:space="preserve">— имеющее заболевания, предусмотренные перечнем, утверждаемым федеральным органом исполнительной власти, осуществляющим функции по выработке государственной политики и нормативно-правовому регулированию в области здравоохранения.</w:t>
      </w:r>
    </w:p>
    <w:p>
      <w:pPr>
        <w:spacing w:after="60" w:before="0" w:line="276"/>
        <w:ind w:left="708" w:firstLine="0"/>
        <w:jc w:val="both"/>
      </w:pPr>
      <w:r>
        <w:rPr>
          <w:rFonts w:ascii="Times New Roman" w:cs="Times New Roman" w:eastAsia="Times New Roman" w:hAnsi="Times New Roman"/>
          <w:b w:val="false"/>
          <w:bCs w:val="false"/>
          <w:i w:val="false"/>
          <w:iCs w:val="false"/>
          <w:caps w:val="false"/>
          <w:sz w:val="24"/>
          <w:szCs w:val="24"/>
        </w:rPr>
        <w:t xml:space="preserve">Лица из числа указанных в абзаце третьем части второй статьи 331 ТК РФ могут быть допущены к педагогической деятельности при наличии решения комиссии по делам несовершеннолетних и защите их прав о допуске к педагогической деятельности в случаях, предусмотренных частью третьей статьи 331 ТК РФ.</w:t>
      </w:r>
    </w:p>
    <w:p>
      <w:pPr>
        <w:spacing w:after="60" w:line="276"/>
        <w:ind w:left="0" w:firstLine="708"/>
        <w:jc w:val="both"/>
      </w:pPr>
      <w:r>
        <w:rPr>
          <w:rFonts w:ascii="Times New Roman" w:cs="Times New Roman" w:eastAsia="Times New Roman" w:hAnsi="Times New Roman"/>
          <w:sz w:val="24"/>
          <w:szCs w:val="24"/>
        </w:rPr>
        <w:t xml:space="preserve">1.6. Работник должен знать:</w:t>
      </w:r>
    </w:p>
    <w:p>
      <w:pPr>
        <w:spacing w:after="40" w:line="276"/>
        <w:ind w:left="708" w:firstLine="0"/>
        <w:jc w:val="both"/>
      </w:pPr>
      <w:r>
        <w:rPr>
          <w:rFonts w:ascii="Times New Roman" w:cs="Times New Roman" w:eastAsia="Times New Roman" w:hAnsi="Times New Roman"/>
          <w:sz w:val="24"/>
          <w:szCs w:val="24"/>
        </w:rPr>
        <w:t xml:space="preserve">— приоритетные направления развития системы образования Российской Федерации, законодательство об образовании, трудовое законодательство;</w:t>
      </w:r>
    </w:p>
    <w:p>
      <w:pPr>
        <w:spacing w:after="40" w:line="276"/>
        <w:ind w:left="708" w:firstLine="0"/>
        <w:jc w:val="both"/>
      </w:pPr>
      <w:r>
        <w:rPr>
          <w:rFonts w:ascii="Times New Roman" w:cs="Times New Roman" w:eastAsia="Times New Roman" w:hAnsi="Times New Roman"/>
          <w:sz w:val="24"/>
          <w:szCs w:val="24"/>
        </w:rPr>
        <w:t xml:space="preserve">— Конвенцию о правах ребёнка;</w:t>
      </w:r>
    </w:p>
    <w:p>
      <w:pPr>
        <w:spacing w:after="40" w:line="276"/>
        <w:ind w:left="708" w:firstLine="0"/>
        <w:jc w:val="both"/>
      </w:pPr>
      <w:r>
        <w:rPr>
          <w:rFonts w:ascii="Times New Roman" w:cs="Times New Roman" w:eastAsia="Times New Roman" w:hAnsi="Times New Roman"/>
          <w:sz w:val="24"/>
          <w:szCs w:val="24"/>
        </w:rPr>
        <w:t xml:space="preserve">— федеральные государственные образовательные стандарты начального общего, основного общего и среднего общего образования; федеральные основные общеобразовательные программы, федеральные рабочие программы по учебным предметам; федеральные адаптированные образовательные программы;</w:t>
      </w:r>
    </w:p>
    <w:p>
      <w:pPr>
        <w:spacing w:after="40" w:line="276"/>
        <w:ind w:left="708" w:firstLine="0"/>
        <w:jc w:val="both"/>
      </w:pPr>
      <w:r>
        <w:rPr>
          <w:rFonts w:ascii="Times New Roman" w:cs="Times New Roman" w:eastAsia="Times New Roman" w:hAnsi="Times New Roman"/>
          <w:sz w:val="24"/>
          <w:szCs w:val="24"/>
        </w:rPr>
        <w:t xml:space="preserve">— порядок организации и осуществления образовательной деятельности по основным общеобразовательным программам, порядок проведения государственной итоговой аттестации;</w:t>
      </w:r>
    </w:p>
    <w:p>
      <w:pPr>
        <w:spacing w:after="40" w:line="276"/>
        <w:ind w:left="708" w:firstLine="0"/>
        <w:jc w:val="both"/>
      </w:pPr>
      <w:r>
        <w:rPr>
          <w:rFonts w:ascii="Times New Roman" w:cs="Times New Roman" w:eastAsia="Times New Roman" w:hAnsi="Times New Roman"/>
          <w:sz w:val="24"/>
          <w:szCs w:val="24"/>
        </w:rPr>
        <w:t xml:space="preserve">— содержание преподаваемого учебного предмета в объёме, необходимом для решения педагогических, научно-методических и организационно-управленческих задач; методику преподавания учебного предмета; программы и учебники по преподаваемому предмету, включённые в федеральный перечень;</w:t>
      </w:r>
    </w:p>
    <w:p>
      <w:pPr>
        <w:spacing w:after="40" w:line="276"/>
        <w:ind w:left="708" w:firstLine="0"/>
        <w:jc w:val="both"/>
      </w:pPr>
      <w:r>
        <w:rPr>
          <w:rFonts w:ascii="Times New Roman" w:cs="Times New Roman" w:eastAsia="Times New Roman" w:hAnsi="Times New Roman"/>
          <w:sz w:val="24"/>
          <w:szCs w:val="24"/>
        </w:rPr>
        <w:t xml:space="preserve">— требования к оснащению и оборудованию учебных кабинетов и подсобных помещений к ним, средства обучения и их дидактические возможности;</w:t>
      </w:r>
    </w:p>
    <w:p>
      <w:pPr>
        <w:spacing w:after="40" w:line="276"/>
        <w:ind w:left="708" w:firstLine="0"/>
        <w:jc w:val="both"/>
      </w:pPr>
      <w:r>
        <w:rPr>
          <w:rFonts w:ascii="Times New Roman" w:cs="Times New Roman" w:eastAsia="Times New Roman" w:hAnsi="Times New Roman"/>
          <w:sz w:val="24"/>
          <w:szCs w:val="24"/>
        </w:rPr>
        <w:t xml:space="preserve">— педагогику, общую, возрастную и педагогическую психологию, возрастную физиологию, гигиену обучающихся;</w:t>
      </w:r>
    </w:p>
    <w:p>
      <w:pPr>
        <w:spacing w:after="40" w:line="276"/>
        <w:ind w:left="708" w:firstLine="0"/>
        <w:jc w:val="both"/>
      </w:pPr>
      <w:r>
        <w:rPr>
          <w:rFonts w:ascii="Times New Roman" w:cs="Times New Roman" w:eastAsia="Times New Roman" w:hAnsi="Times New Roman"/>
          <w:sz w:val="24"/>
          <w:szCs w:val="24"/>
        </w:rPr>
        <w:t xml:space="preserve">— современные педагогические технологии, методику воспитательной работы, методы формирования функциональной грамотности обучающихся;</w:t>
      </w:r>
    </w:p>
    <w:p>
      <w:pPr>
        <w:spacing w:after="40" w:line="276"/>
        <w:ind w:left="708" w:firstLine="0"/>
        <w:jc w:val="both"/>
      </w:pPr>
      <w:r>
        <w:rPr>
          <w:rFonts w:ascii="Times New Roman" w:cs="Times New Roman" w:eastAsia="Times New Roman" w:hAnsi="Times New Roman"/>
          <w:sz w:val="24"/>
          <w:szCs w:val="24"/>
        </w:rPr>
        <w:t xml:space="preserve">— методы и формы текущего контроля успеваемости и промежуточной аттестации, современные способы оценивания образовательных результатов;</w:t>
      </w:r>
    </w:p>
    <w:p>
      <w:pPr>
        <w:spacing w:after="40" w:line="276"/>
        <w:ind w:left="708" w:firstLine="0"/>
        <w:jc w:val="both"/>
      </w:pPr>
      <w:r>
        <w:rPr>
          <w:rFonts w:ascii="Times New Roman" w:cs="Times New Roman" w:eastAsia="Times New Roman" w:hAnsi="Times New Roman"/>
          <w:sz w:val="24"/>
          <w:szCs w:val="24"/>
        </w:rPr>
        <w:t xml:space="preserve">— особенности организации образовательной деятельности обучающихся с ограниченными возможностями здоровья и детей-инвалидов, содержание рекомендаций психолого-медико-педагогической комиссии;</w:t>
      </w:r>
    </w:p>
    <w:p>
      <w:pPr>
        <w:spacing w:after="40" w:line="276"/>
        <w:ind w:left="708" w:firstLine="0"/>
        <w:jc w:val="both"/>
      </w:pPr>
      <w:r>
        <w:rPr>
          <w:rFonts w:ascii="Times New Roman" w:cs="Times New Roman" w:eastAsia="Times New Roman" w:hAnsi="Times New Roman"/>
          <w:sz w:val="24"/>
          <w:szCs w:val="24"/>
        </w:rPr>
        <w:t xml:space="preserve">— методы убеждения и аргументации своей позиции, установления контакта с обучающимися разного возраста, их родителями (законными представителями) и коллегами; технологии профилактики и разрешения конфликтных ситуаций;</w:t>
      </w:r>
    </w:p>
    <w:p>
      <w:pPr>
        <w:spacing w:after="40" w:line="276"/>
        <w:ind w:left="708" w:firstLine="0"/>
        <w:jc w:val="both"/>
      </w:pPr>
      <w:r>
        <w:rPr>
          <w:rFonts w:ascii="Times New Roman" w:cs="Times New Roman" w:eastAsia="Times New Roman" w:hAnsi="Times New Roman"/>
          <w:sz w:val="24"/>
          <w:szCs w:val="24"/>
        </w:rPr>
        <w:t xml:space="preserve">— требования охраны труда, пожарной безопасности, антитеррористической защищённости объектов (территорий), санитарно-эпидемиологические требования к организациям воспитания и обучения детей;</w:t>
      </w:r>
    </w:p>
    <w:p>
      <w:pPr>
        <w:spacing w:after="40" w:line="276"/>
        <w:ind w:left="708" w:firstLine="0"/>
        <w:jc w:val="both"/>
      </w:pPr>
      <w:r>
        <w:rPr>
          <w:rFonts w:ascii="Times New Roman" w:cs="Times New Roman" w:eastAsia="Times New Roman" w:hAnsi="Times New Roman"/>
          <w:sz w:val="24"/>
          <w:szCs w:val="24"/>
        </w:rPr>
        <w:t xml:space="preserve">— требования законодательства о персональных данных;</w:t>
      </w:r>
    </w:p>
    <w:p>
      <w:pPr>
        <w:spacing w:after="40" w:line="276"/>
        <w:ind w:left="708" w:firstLine="0"/>
        <w:jc w:val="both"/>
      </w:pPr>
      <w:r>
        <w:rPr>
          <w:rFonts w:ascii="Times New Roman" w:cs="Times New Roman" w:eastAsia="Times New Roman" w:hAnsi="Times New Roman"/>
          <w:sz w:val="24"/>
          <w:szCs w:val="24"/>
        </w:rPr>
        <w:t xml:space="preserve">— основы работы с текстовыми редакторами, электронными таблицами, электронной почтой и браузерами, мультимедийным оборудованием, региональными информационными системами в сфере образования, в том числе с электронным журналом и электронным дневником;</w:t>
      </w:r>
    </w:p>
    <w:p>
      <w:pPr>
        <w:spacing w:after="40" w:line="276"/>
        <w:ind w:left="708" w:firstLine="0"/>
        <w:jc w:val="both"/>
      </w:pPr>
      <w:r>
        <w:rPr>
          <w:rFonts w:ascii="Times New Roman" w:cs="Times New Roman" w:eastAsia="Times New Roman" w:hAnsi="Times New Roman"/>
          <w:sz w:val="24"/>
          <w:szCs w:val="24"/>
        </w:rPr>
        <w:t xml:space="preserve">— правила внутреннего трудового распорядка Организации.</w:t>
      </w:r>
    </w:p>
    <w:p>
      <w:pPr>
        <w:spacing w:after="60" w:line="276"/>
        <w:ind w:left="0" w:firstLine="708"/>
        <w:jc w:val="both"/>
      </w:pPr>
      <w:r>
        <w:rPr>
          <w:rFonts w:ascii="Times New Roman" w:cs="Times New Roman" w:eastAsia="Times New Roman" w:hAnsi="Times New Roman"/>
          <w:sz w:val="24"/>
          <w:szCs w:val="24"/>
        </w:rPr>
        <w:t xml:space="preserve">1.7. В своей деятельности работник руководствуется:</w:t>
      </w:r>
    </w:p>
    <w:p>
      <w:pPr>
        <w:spacing w:after="40" w:line="276"/>
        <w:ind w:left="708" w:firstLine="0"/>
        <w:jc w:val="both"/>
      </w:pPr>
      <w:r>
        <w:rPr>
          <w:rFonts w:ascii="Times New Roman" w:cs="Times New Roman" w:eastAsia="Times New Roman" w:hAnsi="Times New Roman"/>
          <w:sz w:val="24"/>
          <w:szCs w:val="24"/>
        </w:rPr>
        <w:t xml:space="preserve">— Конституцией Российской Федерации;</w:t>
      </w:r>
    </w:p>
    <w:p>
      <w:pPr>
        <w:spacing w:after="40" w:line="276"/>
        <w:ind w:left="708" w:firstLine="0"/>
        <w:jc w:val="both"/>
      </w:pPr>
      <w:r>
        <w:rPr>
          <w:rFonts w:ascii="Times New Roman" w:cs="Times New Roman" w:eastAsia="Times New Roman" w:hAnsi="Times New Roman"/>
          <w:sz w:val="24"/>
          <w:szCs w:val="24"/>
        </w:rPr>
        <w:t xml:space="preserve">— Трудовым кодексом Российской Федерации;</w:t>
      </w:r>
    </w:p>
    <w:p>
      <w:pPr>
        <w:spacing w:after="40" w:line="276"/>
        <w:ind w:left="708" w:firstLine="0"/>
        <w:jc w:val="both"/>
      </w:pPr>
      <w:r>
        <w:rPr>
          <w:rFonts w:ascii="Times New Roman" w:cs="Times New Roman" w:eastAsia="Times New Roman" w:hAnsi="Times New Roman"/>
          <w:sz w:val="24"/>
          <w:szCs w:val="24"/>
        </w:rPr>
        <w:t xml:space="preserve">— Федеральным законом от 29 декабря 2012 г. № 273-ФЗ «Об образовании в Российской Федерации»;</w:t>
      </w:r>
    </w:p>
    <w:p>
      <w:pPr>
        <w:spacing w:after="40" w:line="276"/>
        <w:ind w:left="708" w:firstLine="0"/>
        <w:jc w:val="both"/>
      </w:pPr>
      <w:r>
        <w:rPr>
          <w:rFonts w:ascii="Times New Roman" w:cs="Times New Roman" w:eastAsia="Times New Roman" w:hAnsi="Times New Roman"/>
          <w:sz w:val="24"/>
          <w:szCs w:val="24"/>
        </w:rPr>
        <w:t xml:space="preserve">— Федеральным законом от 27 июля 2006 г. № 152-ФЗ «О персональных данных»;</w:t>
      </w:r>
    </w:p>
    <w:p>
      <w:pPr>
        <w:spacing w:after="40" w:line="276"/>
        <w:ind w:left="708" w:firstLine="0"/>
        <w:jc w:val="both"/>
      </w:pPr>
      <w:r>
        <w:rPr>
          <w:rFonts w:ascii="Times New Roman" w:cs="Times New Roman" w:eastAsia="Times New Roman" w:hAnsi="Times New Roman"/>
          <w:sz w:val="24"/>
          <w:szCs w:val="24"/>
        </w:rPr>
        <w:t xml:space="preserve">— Федеральным законом от 30 марта 1999 г. № 52-ФЗ «О санитарно-эпидемиологическом благополучии населения»;</w:t>
      </w:r>
    </w:p>
    <w:p>
      <w:pPr>
        <w:spacing w:after="40" w:line="276"/>
        <w:ind w:left="708" w:firstLine="0"/>
        <w:jc w:val="both"/>
      </w:pPr>
      <w:r>
        <w:rPr>
          <w:rFonts w:ascii="Times New Roman" w:cs="Times New Roman" w:eastAsia="Times New Roman" w:hAnsi="Times New Roman"/>
          <w:sz w:val="24"/>
          <w:szCs w:val="24"/>
        </w:rPr>
        <w:t xml:space="preserve">— федеральными государственными образовательными стандартами начального общего, основного общего и среднего общего образования (приказы Минпросвещения России от 31 мая 2021 г. № 286 и № 287, приказ Минобрнауки России от 17 мая 2012 г. № 413);</w:t>
      </w:r>
    </w:p>
    <w:p>
      <w:pPr>
        <w:spacing w:after="40" w:line="276"/>
        <w:ind w:left="708" w:firstLine="0"/>
        <w:jc w:val="both"/>
      </w:pPr>
      <w:r>
        <w:rPr>
          <w:rFonts w:ascii="Times New Roman" w:cs="Times New Roman" w:eastAsia="Times New Roman" w:hAnsi="Times New Roman"/>
          <w:sz w:val="24"/>
          <w:szCs w:val="24"/>
        </w:rPr>
        <w:t xml:space="preserve">— федеральными основными общеобразовательными программами начального общего, основного общего и среднего общего образования (приказы Минпросвещения России от 18 мая 2023 г. № 372, № 370 и № 371);</w:t>
      </w:r>
    </w:p>
    <w:p>
      <w:pPr>
        <w:spacing w:after="40" w:line="276"/>
        <w:ind w:left="708" w:firstLine="0"/>
        <w:jc w:val="both"/>
      </w:pPr>
      <w:r>
        <w:rPr>
          <w:rFonts w:ascii="Times New Roman" w:cs="Times New Roman" w:eastAsia="Times New Roman" w:hAnsi="Times New Roman"/>
          <w:sz w:val="24"/>
          <w:szCs w:val="24"/>
        </w:rPr>
        <w:t xml:space="preserve">— федеральной адаптированной образовательной программой начального общего образования для обучающихся с ограниченными возможностями здоровья (приказ Минпросвещения России от 24 ноября 2022 г. № 1023 с изменениями, внесёнными приказами от 1 февраля 2024 г. № 67 и от 17 июля 2024 г. № 495), федеральной адаптированной образовательной программой основного общего образования для обучающихся с ограниченными возможностями здоровья (приказ Минпросвещения России от 24 ноября 2022 г. № 1025 с теми же изменениями), федеральной адаптированной основной общеобразовательной программой обучающихся с умственной отсталостью (интеллектуальными нарушениями) (приказ Минпросвещения России от 24 ноября 2022 г. № 1026);</w:t>
      </w:r>
    </w:p>
    <w:p>
      <w:pPr>
        <w:spacing w:after="40" w:line="276"/>
        <w:ind w:left="708" w:firstLine="0"/>
        <w:jc w:val="both"/>
      </w:pPr>
      <w:r>
        <w:rPr>
          <w:rFonts w:ascii="Times New Roman" w:cs="Times New Roman" w:eastAsia="Times New Roman" w:hAnsi="Times New Roman"/>
          <w:sz w:val="24"/>
          <w:szCs w:val="24"/>
        </w:rPr>
        <w:t xml:space="preserve">— Порядком организации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общего образования (приказ Минпросвещения России от 22 марта 2021 г. № 115 с изменениями, внесёнными приказом от 8 мая 2026 г. № 316);</w:t>
      </w:r>
    </w:p>
    <w:p>
      <w:pPr>
        <w:spacing w:after="40" w:line="276"/>
        <w:ind w:left="708" w:firstLine="0"/>
        <w:jc w:val="both"/>
      </w:pPr>
      <w:r>
        <w:rPr>
          <w:rFonts w:ascii="Times New Roman" w:cs="Times New Roman" w:eastAsia="Times New Roman" w:hAnsi="Times New Roman"/>
          <w:sz w:val="24"/>
          <w:szCs w:val="24"/>
        </w:rPr>
        <w:t xml:space="preserve">— приказом Минпросвещения России от 4 апреля 2025 г. № 269 и приказом Минпросвещения России от 4 апреля 2025 г. № 268;</w:t>
      </w:r>
    </w:p>
    <w:p>
      <w:pPr>
        <w:spacing w:after="40" w:line="276"/>
        <w:ind w:left="708" w:firstLine="0"/>
        <w:jc w:val="both"/>
      </w:pPr>
      <w:r>
        <w:rPr>
          <w:rFonts w:ascii="Times New Roman" w:cs="Times New Roman" w:eastAsia="Times New Roman" w:hAnsi="Times New Roman"/>
          <w:sz w:val="24"/>
          <w:szCs w:val="24"/>
        </w:rPr>
        <w:t xml:space="preserve">— приказом Минпросвещения России от 6 ноября 2024 г. № 779 «Об утверждении перечня документов, подготовка которых осуществляется педагогическими работниками при реализации основных общеобразовательных программ, образовательных программ среднего профессионального образования»;</w:t>
      </w:r>
    </w:p>
    <w:p>
      <w:pPr>
        <w:spacing w:after="40" w:line="276"/>
        <w:ind w:left="708" w:firstLine="0"/>
        <w:jc w:val="both"/>
      </w:pPr>
      <w:r>
        <w:rPr>
          <w:rFonts w:ascii="Times New Roman" w:cs="Times New Roman" w:eastAsia="Times New Roman" w:hAnsi="Times New Roman"/>
          <w:sz w:val="24"/>
          <w:szCs w:val="24"/>
        </w:rPr>
        <w:t xml:space="preserve">— Порядком проведения аттестации педагогических работников организаций, осуществляющих образовательную деятельность (приказ Минпросвещения России от 24 марта 2023 г. № 196);</w:t>
      </w:r>
    </w:p>
    <w:p>
      <w:pPr>
        <w:spacing w:after="40" w:line="276"/>
        <w:ind w:left="708" w:firstLine="0"/>
        <w:jc w:val="both"/>
      </w:pPr>
      <w:r>
        <w:rPr>
          <w:rFonts w:ascii="Times New Roman" w:cs="Times New Roman" w:eastAsia="Times New Roman" w:hAnsi="Times New Roman"/>
          <w:sz w:val="24"/>
          <w:szCs w:val="24"/>
        </w:rPr>
        <w:t xml:space="preserve">— СП 2.4.2.4283-26 «Санитарно-эпидемиологические требования к организациям воспитания и обучения, отдыха и оздоровления детей и молодёжи» (постановление Главного государственного санитарного врача Российской Федерации от 2 июня 2026 г. № 19, действуют с 1 сентября 2026 г.);</w:t>
      </w:r>
    </w:p>
    <w:p>
      <w:pPr>
        <w:spacing w:after="40" w:line="276"/>
        <w:ind w:left="708" w:firstLine="0"/>
        <w:jc w:val="both"/>
      </w:pPr>
      <w:r>
        <w:rPr>
          <w:rFonts w:ascii="Times New Roman" w:cs="Times New Roman" w:eastAsia="Times New Roman" w:hAnsi="Times New Roman"/>
          <w:sz w:val="24"/>
          <w:szCs w:val="24"/>
        </w:rPr>
        <w:t xml:space="preserve">— СанПиН 1.2.3685-21 (постановление Главного государственного санитарного врача Российской Федерации от 28 января 2021 г. № 2);</w:t>
      </w:r>
    </w:p>
    <w:p>
      <w:pPr>
        <w:spacing w:after="40" w:line="276"/>
        <w:ind w:left="708" w:firstLine="0"/>
        <w:jc w:val="both"/>
      </w:pPr>
      <w:r>
        <w:rPr>
          <w:rFonts w:ascii="Times New Roman" w:cs="Times New Roman" w:eastAsia="Times New Roman" w:hAnsi="Times New Roman"/>
          <w:sz w:val="24"/>
          <w:szCs w:val="24"/>
        </w:rPr>
        <w:t xml:space="preserve">— уставом Организации, коллективным договором, правилами внутреннего трудового распорядка, иными локальными нормативными актами Организации, с которыми работник ознакомлен под подпись;</w:t>
      </w:r>
    </w:p>
    <w:p>
      <w:pPr>
        <w:spacing w:after="40" w:line="276"/>
        <w:ind w:left="708" w:firstLine="0"/>
        <w:jc w:val="both"/>
      </w:pPr>
      <w:r>
        <w:rPr>
          <w:rFonts w:ascii="Times New Roman" w:cs="Times New Roman" w:eastAsia="Times New Roman" w:hAnsi="Times New Roman"/>
          <w:sz w:val="24"/>
          <w:szCs w:val="24"/>
        </w:rPr>
        <w:t xml:space="preserve">— трудовым договором и настоящей должностной инструкцией.</w:t>
      </w:r>
    </w:p>
    <w:p>
      <w:pPr>
        <w:spacing w:after="60" w:line="276"/>
        <w:ind w:left="0" w:firstLine="708"/>
        <w:jc w:val="both"/>
      </w:pPr>
      <w:r>
        <w:rPr>
          <w:rFonts w:ascii="Times New Roman" w:cs="Times New Roman" w:eastAsia="Times New Roman" w:hAnsi="Times New Roman"/>
          <w:sz w:val="24"/>
          <w:szCs w:val="24"/>
        </w:rPr>
        <w:t xml:space="preserve">1.8. Режим рабочего времени. Норма часов учебной (преподавательской) работы, за которую выплачивается ставка заработной платы, — 18 часов в неделю (пункт 11 приложения № 1 к приказу Минпросвещения России от 4 апреля 2025 г. № 269 «О продолжительности рабочего времени (нормах часов педагогической работы за ставку заработной платы) педагогических работников…»). Учебная нагрузка определяется ежегодно на начало учебного года, устанавливается локальным нормативным актом и оговаривается в трудовом договоре; её изменение по инициативе работодателя в текущем учебном году не допускается, за исключением случаев, прямо предусмотренных пунктами 5 и 6 приложения № 2 к приказу № 269. Об изменении объёма учебной нагрузки работодатель уведомляет работника в письменной форме не позднее чем за два месяца. Рабочее время учителя состоит из нормируемой части (учебная нагрузка) и другой части педагогической работы, не имеющей нормированных часов; режим определяется правилами внутреннего трудового распорядка, графиками работы, расписанием занятий и приказом Минпросвещения России от 4 апреля 2025 г. № 268 «Об утверждении Особенностей режима рабочего времени и времени отдыха педагогических и иных работников организаций, осуществляющих образовательную деятельность…». Периоды каникул, не совпадающие с отпуском, являются рабочим временем.</w:t>
      </w:r>
    </w:p>
    <w:p>
      <w:pPr>
        <w:spacing w:after="60" w:line="276"/>
        <w:ind w:left="0" w:firstLine="708"/>
        <w:jc w:val="both"/>
      </w:pPr>
      <w:r>
        <w:rPr>
          <w:rFonts w:ascii="Times New Roman" w:cs="Times New Roman" w:eastAsia="Times New Roman" w:hAnsi="Times New Roman"/>
          <w:sz w:val="24"/>
          <w:szCs w:val="24"/>
        </w:rPr>
        <w:t xml:space="preserve">1.9. Отпуск. Ежегодный основной удлинённый оплачиваемый отпуск продолжительностью 56 календарных дней (пункт 1 раздела III приложения к постановлению Правительства Российской Федерации от 3 апреля 2024 г. № 415 «О ежегодных основных удлинённых оплачиваемых отпусках» (действует с 1 сентября 2024 г. по 31 августа 2029 г.)).</w:t>
      </w:r>
    </w:p>
    <w:p>
      <w:pPr>
        <w:spacing w:after="60" w:line="276"/>
        <w:ind w:left="0" w:firstLine="708"/>
        <w:jc w:val="both"/>
      </w:pPr>
      <w:r>
        <w:rPr>
          <w:rFonts w:ascii="Times New Roman" w:cs="Times New Roman" w:eastAsia="Times New Roman" w:hAnsi="Times New Roman"/>
          <w:sz w:val="24"/>
          <w:szCs w:val="24"/>
        </w:rPr>
        <w:t xml:space="preserve">1.10. До допуска к работе и в дальнейшем в установленные сроки работник проходит: обязательный предварительный (при поступлении на работу) и периодические медицинские осмотры в порядке, установленном приказом Минтруда России и Минздрава России от 31 декабря 2020 г. № 988н/1420н и приказом Минздрава России от 28 января 2021 г. № 29н; профессиональную гигиеническую подготовку и аттестацию (при приёме на работу и далее не реже одного раза в два года, работники организаций общественного питания — ежегодно); вакцинацию в соответствии с национальным календарём профилактических прививок. Работник обязан иметь личную медицинскую книжку с результатами медицинских обследований и лабораторных исследований, сведениями о прививках, перенесённых инфекционных заболеваниях, о прохождении профессиональной гигиенической подготовки и аттестации с допуском к работе (пункт 5 СП 2.4.2.4283-26).</w:t>
      </w:r>
    </w:p>
    <w:p>
      <w:pPr>
        <w:spacing w:after="60" w:line="276"/>
        <w:ind w:left="0" w:firstLine="708"/>
        <w:jc w:val="both"/>
      </w:pPr>
      <w:r>
        <w:rPr>
          <w:rFonts w:ascii="Times New Roman" w:cs="Times New Roman" w:eastAsia="Times New Roman" w:hAnsi="Times New Roman"/>
          <w:sz w:val="24"/>
          <w:szCs w:val="24"/>
        </w:rPr>
        <w:t xml:space="preserve">1.11. Работник проходит обучение по охране труда и проверку знания требований охраны труда, обучение по оказанию первой помощи пострадавшим, обучение по использованию (применению) средств индивидуальной защиты, инструктажи по охране труда и пожарной безопасности, стажировку на рабочем месте (для установленных категорий работников) в порядке и сроки, предусмотренные Правилами обучения по охране труда и проверки знания требований охраны труда (постановление Правительства Российской Федерации от 24 декабря 2021 г. № 2464 в редакции постановления от 30 июня 2026 г. № 805).</w:t>
      </w:r>
    </w:p>
    <w:p>
      <w:pPr>
        <w:spacing w:after="60" w:line="276"/>
        <w:ind w:left="0" w:firstLine="708"/>
        <w:jc w:val="both"/>
      </w:pPr>
      <w:r>
        <w:rPr>
          <w:rFonts w:ascii="Times New Roman" w:cs="Times New Roman" w:eastAsia="Times New Roman" w:hAnsi="Times New Roman"/>
          <w:sz w:val="24"/>
          <w:szCs w:val="24"/>
        </w:rPr>
        <w:t xml:space="preserve">1.12. В соответствии с частью 2 статьи 48 Федерального закона от 29 декабря 2012 г. № 273-ФЗ «Об образовании в Российской Федерации» и статьёй 336 ТК РФ работнику запрещается:</w:t>
      </w:r>
    </w:p>
    <w:p>
      <w:pPr>
        <w:spacing w:after="40" w:line="276"/>
        <w:ind w:left="708" w:firstLine="0"/>
        <w:jc w:val="both"/>
      </w:pPr>
      <w:r>
        <w:rPr>
          <w:rFonts w:ascii="Times New Roman" w:cs="Times New Roman" w:eastAsia="Times New Roman" w:hAnsi="Times New Roman"/>
          <w:sz w:val="24"/>
          <w:szCs w:val="24"/>
        </w:rPr>
        <w:t xml:space="preserve">— оказывать платные образовательные услуги обучающимся данной Организации, если это приводит к конфликту интересов;</w:t>
      </w:r>
    </w:p>
    <w:p>
      <w:pPr>
        <w:spacing w:after="40" w:line="276"/>
        <w:ind w:left="708" w:firstLine="0"/>
        <w:jc w:val="both"/>
      </w:pPr>
      <w:r>
        <w:rPr>
          <w:rFonts w:ascii="Times New Roman" w:cs="Times New Roman" w:eastAsia="Times New Roman" w:hAnsi="Times New Roman"/>
          <w:sz w:val="24"/>
          <w:szCs w:val="24"/>
        </w:rPr>
        <w:t xml:space="preserve">— использовать образовательную деятельность для политической агитации, принуждения обучающихся к принятию политических, религиозных или иных убеждений либо отказу от них, для разжигания социальной, расовой, национальной или религиозной розни, для агитации, пропагандирующей исключительность, превосходство либо неполноценность граждан по признаку социальной, расовой, национальной, религиозной или языковой принадлежности, их отношения к религии, в том числе посредством сообщения обучающимся недостоверных сведений об исторических, о национальных, религиозных и культурных традициях народов, а также для побуждения обучающихся к действиям, противоречащим Конституции Российской Федерации;</w:t>
      </w:r>
    </w:p>
    <w:p>
      <w:pPr>
        <w:spacing w:after="40" w:line="276"/>
        <w:ind w:left="708" w:firstLine="0"/>
        <w:jc w:val="both"/>
      </w:pPr>
      <w:r>
        <w:rPr>
          <w:rFonts w:ascii="Times New Roman" w:cs="Times New Roman" w:eastAsia="Times New Roman" w:hAnsi="Times New Roman"/>
          <w:sz w:val="24"/>
          <w:szCs w:val="24"/>
        </w:rPr>
        <w:t xml:space="preserve">— применять методы воспитания, связанные с физическим и (или) психическим насилием над личностью обучающегося.</w:t>
      </w:r>
    </w:p>
    <w:p>
      <w:pPr>
        <w:spacing w:after="60" w:line="276"/>
        <w:ind w:left="0" w:firstLine="708"/>
        <w:jc w:val="both"/>
      </w:pPr>
      <w:r>
        <w:rPr>
          <w:rFonts w:ascii="Times New Roman" w:cs="Times New Roman" w:eastAsia="Times New Roman" w:hAnsi="Times New Roman"/>
          <w:sz w:val="24"/>
          <w:szCs w:val="24"/>
        </w:rPr>
        <w:t xml:space="preserve">1.13. На время отсутствия учителя (отпуск, временная нетрудоспособность, командировка и иные случаи) его обязанности исполняет другой работник, назначенный приказом директора Организации. Замещение временно отсутствующего педагогического работника оформляется с письменного согласия работника с указанием срока, содержания и объёма дополнительной работы и размера доплаты (статьи 60.2 и 151 ТК РФ) либо путём привлечения к сверхурочной работе в порядке статьи 99 ТК РФ.</w:t>
      </w:r>
    </w:p>
    <w:p>
      <w:pPr>
        <w:pStyle w:val="Heading1"/>
        <w:keepNext/>
        <w:spacing w:after="120" w:before="240" w:line="276"/>
        <w:jc w:val="center"/>
      </w:pPr>
      <w:r>
        <w:rPr>
          <w:rFonts w:ascii="Times New Roman" w:cs="Times New Roman" w:eastAsia="Times New Roman" w:hAnsi="Times New Roman"/>
          <w:b/>
          <w:bCs/>
          <w:sz w:val="24"/>
          <w:szCs w:val="24"/>
        </w:rPr>
        <w:t xml:space="preserve">2. Должностные обязанности</w:t>
      </w:r>
    </w:p>
    <w:p>
      <w:pPr>
        <w:spacing w:after="60" w:before="0" w:line="276"/>
        <w:ind w:left="0" w:firstLine="708"/>
        <w:jc w:val="both"/>
      </w:pPr>
      <w:r>
        <w:rPr>
          <w:rFonts w:ascii="Times New Roman" w:cs="Times New Roman" w:eastAsia="Times New Roman" w:hAnsi="Times New Roman"/>
          <w:b w:val="false"/>
          <w:bCs w:val="false"/>
          <w:i w:val="false"/>
          <w:iCs w:val="false"/>
          <w:caps w:val="false"/>
          <w:sz w:val="24"/>
          <w:szCs w:val="24"/>
        </w:rPr>
        <w:t xml:space="preserve">На работника возлагаются следующие должностные обязанности.</w:t>
      </w:r>
    </w:p>
    <w:p>
      <w:pPr>
        <w:pStyle w:val="Heading2"/>
        <w:keepNext/>
        <w:spacing w:after="60" w:before="120" w:line="276"/>
        <w:ind w:firstLine="708"/>
        <w:jc w:val="left"/>
      </w:pPr>
      <w:r>
        <w:rPr>
          <w:rFonts w:ascii="Times New Roman" w:cs="Times New Roman" w:eastAsia="Times New Roman" w:hAnsi="Times New Roman"/>
          <w:b/>
          <w:bCs/>
          <w:i/>
          <w:iCs/>
          <w:sz w:val="24"/>
          <w:szCs w:val="24"/>
        </w:rPr>
        <w:t xml:space="preserve">Обучение и воспитание</w:t>
      </w:r>
    </w:p>
    <w:p>
      <w:pPr>
        <w:spacing w:after="60" w:line="276"/>
        <w:ind w:left="0" w:firstLine="708"/>
        <w:jc w:val="both"/>
      </w:pPr>
      <w:r>
        <w:rPr>
          <w:rFonts w:ascii="Times New Roman" w:cs="Times New Roman" w:eastAsia="Times New Roman" w:hAnsi="Times New Roman"/>
          <w:sz w:val="24"/>
          <w:szCs w:val="24"/>
        </w:rPr>
        <w:t xml:space="preserve">2.1. Осуществлять обучение и воспитание обучающихся с учётом их психолого-физиологических особенностей и специфики преподаваемого учебного предмета, способствовать формированию общей культуры личности и социализации обучающихся.</w:t>
      </w:r>
    </w:p>
    <w:p>
      <w:pPr>
        <w:spacing w:after="60" w:line="276"/>
        <w:ind w:left="0" w:firstLine="708"/>
        <w:jc w:val="both"/>
      </w:pPr>
      <w:r>
        <w:rPr>
          <w:rFonts w:ascii="Times New Roman" w:cs="Times New Roman" w:eastAsia="Times New Roman" w:hAnsi="Times New Roman"/>
          <w:sz w:val="24"/>
          <w:szCs w:val="24"/>
        </w:rPr>
        <w:t xml:space="preserve">2.2. Планировать и осуществлять образовательную деятельность в соответствии с образовательной программой Организации; разрабатывать рабочую программу учебного предмета, учебного курса (в том числе внеурочной деятельности), учебного модуля на основе федеральной рабочей программы и обеспечивать её выполнение.</w:t>
      </w:r>
    </w:p>
    <w:p>
      <w:pPr>
        <w:spacing w:after="60" w:line="276"/>
        <w:ind w:left="0" w:firstLine="708"/>
        <w:jc w:val="both"/>
      </w:pPr>
      <w:r>
        <w:rPr>
          <w:rFonts w:ascii="Times New Roman" w:cs="Times New Roman" w:eastAsia="Times New Roman" w:hAnsi="Times New Roman"/>
          <w:sz w:val="24"/>
          <w:szCs w:val="24"/>
        </w:rPr>
        <w:t xml:space="preserve">2.3. Проводить учебные занятия в соответствии с расписанием, обеспечивать реализацию образовательной программы в полном объёме, использовать педагогически обоснованные формы, методы и средства обучения и воспитания.</w:t>
      </w:r>
    </w:p>
    <w:p>
      <w:pPr>
        <w:spacing w:after="60" w:line="276"/>
        <w:ind w:left="0" w:firstLine="708"/>
        <w:jc w:val="both"/>
      </w:pPr>
      <w:r>
        <w:rPr>
          <w:rFonts w:ascii="Times New Roman" w:cs="Times New Roman" w:eastAsia="Times New Roman" w:hAnsi="Times New Roman"/>
          <w:sz w:val="24"/>
          <w:szCs w:val="24"/>
        </w:rPr>
        <w:t xml:space="preserve">2.4. Обеспечивать выбор учебников из федерального перечня, учебных пособий, материалов и иных средств обучения и воспитания в порядке, установленном локальным нормативным актом Организации.</w:t>
      </w:r>
    </w:p>
    <w:p>
      <w:pPr>
        <w:spacing w:after="60" w:line="276"/>
        <w:ind w:left="0" w:firstLine="708"/>
        <w:jc w:val="both"/>
      </w:pPr>
      <w:r>
        <w:rPr>
          <w:rFonts w:ascii="Times New Roman" w:cs="Times New Roman" w:eastAsia="Times New Roman" w:hAnsi="Times New Roman"/>
          <w:sz w:val="24"/>
          <w:szCs w:val="24"/>
        </w:rPr>
        <w:t xml:space="preserve">2.5. Организовывать и поддерживать разнообразные виды деятельности обучающихся, ориентируясь на личность обучающегося, развитие его мотивации, познавательных интересов и способностей; организовывать самостоятельную, в том числе исследовательскую и проектную, деятельность обучающихся.</w:t>
      </w:r>
    </w:p>
    <w:p>
      <w:pPr>
        <w:spacing w:after="60" w:line="276"/>
        <w:ind w:left="0" w:firstLine="708"/>
        <w:jc w:val="both"/>
      </w:pPr>
      <w:r>
        <w:rPr>
          <w:rFonts w:ascii="Times New Roman" w:cs="Times New Roman" w:eastAsia="Times New Roman" w:hAnsi="Times New Roman"/>
          <w:sz w:val="24"/>
          <w:szCs w:val="24"/>
        </w:rPr>
        <w:t xml:space="preserve">2.6. Формировать у обучающихся функциональную грамотность, навыки безопасного поведения, гражданскую позицию, культуру здорового и безопасного образа жизни в соответствии с рабочей программой воспитания Организации.</w:t>
      </w:r>
    </w:p>
    <w:p>
      <w:pPr>
        <w:spacing w:after="60" w:line="276"/>
        <w:ind w:left="0" w:firstLine="708"/>
        <w:jc w:val="both"/>
      </w:pPr>
      <w:r>
        <w:rPr>
          <w:rFonts w:ascii="Times New Roman" w:cs="Times New Roman" w:eastAsia="Times New Roman" w:hAnsi="Times New Roman"/>
          <w:sz w:val="24"/>
          <w:szCs w:val="24"/>
        </w:rPr>
        <w:t xml:space="preserve">2.7. Обеспечивать достижение обучающимися планируемых результатов освоения образовательной программы, участвовать в подготовке обучающихся к государственной итоговой аттестации и иным оценочным процедурам.</w:t>
      </w:r>
    </w:p>
    <w:p>
      <w:pPr>
        <w:spacing w:after="60" w:line="276"/>
        <w:ind w:left="0" w:firstLine="708"/>
        <w:jc w:val="both"/>
      </w:pPr>
      <w:r>
        <w:rPr>
          <w:rFonts w:ascii="Times New Roman" w:cs="Times New Roman" w:eastAsia="Times New Roman" w:hAnsi="Times New Roman"/>
          <w:sz w:val="24"/>
          <w:szCs w:val="24"/>
        </w:rPr>
        <w:t xml:space="preserve">2.8. Обучать и воспитывать обучающихся с ограниченными возможностями здоровья и детей-инвалидов с учётом заключения психолого-медико-педагогической комиссии, адаптированной образовательной программы и индивидуальной программы реабилитации или абилитации ребёнка-инвалида; при необходимости взаимодействовать с психолого-педагогическим консилиумом Организации, созданным в соответствии с Положением о психолого-педагогическом консилиуме образовательной организации (распоряжение Минпросвещения России от 9 сентября 2019 г. № Р-93).</w:t>
      </w:r>
    </w:p>
    <w:p>
      <w:pPr>
        <w:pStyle w:val="Heading2"/>
        <w:keepNext/>
        <w:spacing w:after="60" w:before="120" w:line="276"/>
        <w:ind w:firstLine="708"/>
        <w:jc w:val="left"/>
      </w:pPr>
      <w:r>
        <w:rPr>
          <w:rFonts w:ascii="Times New Roman" w:cs="Times New Roman" w:eastAsia="Times New Roman" w:hAnsi="Times New Roman"/>
          <w:b/>
          <w:bCs/>
          <w:i/>
          <w:iCs/>
          <w:sz w:val="24"/>
          <w:szCs w:val="24"/>
        </w:rPr>
        <w:t xml:space="preserve">Контроль и оценка результатов</w:t>
      </w:r>
    </w:p>
    <w:p>
      <w:pPr>
        <w:spacing w:after="60" w:line="276"/>
        <w:ind w:left="0" w:firstLine="708"/>
        <w:jc w:val="both"/>
      </w:pPr>
      <w:r>
        <w:rPr>
          <w:rFonts w:ascii="Times New Roman" w:cs="Times New Roman" w:eastAsia="Times New Roman" w:hAnsi="Times New Roman"/>
          <w:sz w:val="24"/>
          <w:szCs w:val="24"/>
        </w:rPr>
        <w:t xml:space="preserve">2.9. Осуществлять текущий контроль успеваемости и промежуточную аттестацию обучающихся в соответствии с локальным нормативным актом Организации, применяя единые критерии оценивания; обеспечивать объективность и открытость оценки.</w:t>
      </w:r>
    </w:p>
    <w:p>
      <w:pPr>
        <w:spacing w:after="60" w:line="276"/>
        <w:ind w:left="0" w:firstLine="708"/>
        <w:jc w:val="both"/>
      </w:pPr>
      <w:r>
        <w:rPr>
          <w:rFonts w:ascii="Times New Roman" w:cs="Times New Roman" w:eastAsia="Times New Roman" w:hAnsi="Times New Roman"/>
          <w:sz w:val="24"/>
          <w:szCs w:val="24"/>
        </w:rPr>
        <w:t xml:space="preserve">2.10. Своевременно и достоверно вести журнал учёта успеваемости, в том числе в электронной форме, выставлять отметки и фиксировать сведения о проведённых занятиях в установленные сроки; вести журнал внеурочной деятельности при осуществлении внеурочной деятельности.</w:t>
      </w:r>
    </w:p>
    <w:p>
      <w:pPr>
        <w:spacing w:after="60" w:line="276"/>
        <w:ind w:left="0" w:firstLine="708"/>
        <w:jc w:val="both"/>
      </w:pPr>
      <w:r>
        <w:rPr>
          <w:rFonts w:ascii="Times New Roman" w:cs="Times New Roman" w:eastAsia="Times New Roman" w:hAnsi="Times New Roman"/>
          <w:sz w:val="24"/>
          <w:szCs w:val="24"/>
        </w:rPr>
        <w:t xml:space="preserve">2.11. Анализировать результаты обучения, выявлять обучающихся, испытывающих трудности в освоении образовательной программы, организовывать работу по ликвидации академической задолженности.</w:t>
      </w:r>
    </w:p>
    <w:p>
      <w:pPr>
        <w:spacing w:after="60" w:line="276"/>
        <w:ind w:left="0" w:firstLine="708"/>
        <w:jc w:val="both"/>
      </w:pPr>
      <w:r>
        <w:rPr>
          <w:rFonts w:ascii="Times New Roman" w:cs="Times New Roman" w:eastAsia="Times New Roman" w:hAnsi="Times New Roman"/>
          <w:sz w:val="24"/>
          <w:szCs w:val="24"/>
        </w:rPr>
        <w:t xml:space="preserve">2.12. Информировать обучающихся и их родителей (законных представителей) о результатах текущего контроля успеваемости и промежуточной аттестации в порядке, установленном локальным нормативным актом Организации.</w:t>
      </w:r>
    </w:p>
    <w:p>
      <w:pPr>
        <w:pStyle w:val="Heading2"/>
        <w:keepNext/>
        <w:spacing w:after="60" w:before="120" w:line="276"/>
        <w:ind w:firstLine="708"/>
        <w:jc w:val="left"/>
      </w:pPr>
      <w:r>
        <w:rPr>
          <w:rFonts w:ascii="Times New Roman" w:cs="Times New Roman" w:eastAsia="Times New Roman" w:hAnsi="Times New Roman"/>
          <w:b/>
          <w:bCs/>
          <w:i/>
          <w:iCs/>
          <w:sz w:val="24"/>
          <w:szCs w:val="24"/>
        </w:rPr>
        <w:t xml:space="preserve">Документы и методическая работа</w:t>
      </w:r>
    </w:p>
    <w:p>
      <w:pPr>
        <w:spacing w:after="60" w:line="276"/>
        <w:ind w:left="0" w:firstLine="708"/>
        <w:jc w:val="both"/>
      </w:pPr>
      <w:r>
        <w:rPr>
          <w:rFonts w:ascii="Times New Roman" w:cs="Times New Roman" w:eastAsia="Times New Roman" w:hAnsi="Times New Roman"/>
          <w:sz w:val="24"/>
          <w:szCs w:val="24"/>
        </w:rPr>
        <w:t xml:space="preserve">2.13. Осуществлять подготовку документов, предусмотренных перечнем, утверждённым приказом Минпросвещения России от 6 ноября 2024 г. № 779 «Об утверждении перечня документов, подготовка которых осуществляется педагогическими работниками при реализации основных общеобразовательных программ, образовательных программ среднего профессионального образования»: рабочей программы учебного предмета, учебного курса (в том числе внеурочной деятельности), учебного модуля; журнала учёта успеваемости; журнала внеурочной деятельности (при осуществлении внеурочной деятельности). Возложение на учителя обязанностей по подготовке иных документов не допускается (часть 6.2 статьи 47 Федерального закона от 29 декабря 2012 г. № 273-ФЗ «Об образовании в Российской Федерации»).</w:t>
      </w:r>
    </w:p>
    <w:p>
      <w:pPr>
        <w:spacing w:after="60" w:line="276"/>
        <w:ind w:left="0" w:firstLine="708"/>
        <w:jc w:val="both"/>
      </w:pPr>
      <w:r>
        <w:rPr>
          <w:rFonts w:ascii="Times New Roman" w:cs="Times New Roman" w:eastAsia="Times New Roman" w:hAnsi="Times New Roman"/>
          <w:sz w:val="24"/>
          <w:szCs w:val="24"/>
        </w:rPr>
        <w:t xml:space="preserve">2.14. Участвовать в работе педагогического совета, методических объединений и иных формах методической работы, в разработке образовательных программ Организации, учебных планов и календарных учебных графиков.</w:t>
      </w:r>
    </w:p>
    <w:p>
      <w:pPr>
        <w:spacing w:after="60" w:line="276"/>
        <w:ind w:left="0" w:firstLine="708"/>
        <w:jc w:val="both"/>
      </w:pPr>
      <w:r>
        <w:rPr>
          <w:rFonts w:ascii="Times New Roman" w:cs="Times New Roman" w:eastAsia="Times New Roman" w:hAnsi="Times New Roman"/>
          <w:sz w:val="24"/>
          <w:szCs w:val="24"/>
        </w:rPr>
        <w:t xml:space="preserve">2.15. Систематически повышать свой профессиональный уровень; проходить дополнительное профессиональное образование по профилю педагогической деятельности по направлению работодателя в порядке и на условиях, установленных законодательством Российской Федерации и локальными нормативными актами Организации; проходить аттестацию в целях подтверждения соответствия занимаемой должности в порядке, установленном Порядком проведения аттестации педагогических работников организаций, осуществляющих образовательную деятельность (приказ Минпросвещения России от 24 марта 2023 г. № 196).</w:t>
      </w:r>
    </w:p>
    <w:p>
      <w:pPr>
        <w:spacing w:after="60" w:line="276"/>
        <w:ind w:left="0" w:firstLine="708"/>
        <w:jc w:val="both"/>
      </w:pPr>
      <w:r>
        <w:rPr>
          <w:rFonts w:ascii="Times New Roman" w:cs="Times New Roman" w:eastAsia="Times New Roman" w:hAnsi="Times New Roman"/>
          <w:sz w:val="24"/>
          <w:szCs w:val="24"/>
        </w:rPr>
        <w:t xml:space="preserve">2.16. Вносить предложения по совершенствованию образовательной деятельности, оснащению и оборудованию учебного кабинета.</w:t>
      </w:r>
    </w:p>
    <w:p>
      <w:pPr>
        <w:pStyle w:val="Heading2"/>
        <w:keepNext/>
        <w:spacing w:after="60" w:before="120" w:line="276"/>
        <w:ind w:firstLine="708"/>
        <w:jc w:val="left"/>
      </w:pPr>
      <w:r>
        <w:rPr>
          <w:rFonts w:ascii="Times New Roman" w:cs="Times New Roman" w:eastAsia="Times New Roman" w:hAnsi="Times New Roman"/>
          <w:b/>
          <w:bCs/>
          <w:i/>
          <w:iCs/>
          <w:sz w:val="24"/>
          <w:szCs w:val="24"/>
        </w:rPr>
        <w:t xml:space="preserve">Взаимодействие с родителями (законными представителями)</w:t>
      </w:r>
    </w:p>
    <w:p>
      <w:pPr>
        <w:spacing w:after="60" w:line="276"/>
        <w:ind w:left="0" w:firstLine="708"/>
        <w:jc w:val="both"/>
      </w:pPr>
      <w:r>
        <w:rPr>
          <w:rFonts w:ascii="Times New Roman" w:cs="Times New Roman" w:eastAsia="Times New Roman" w:hAnsi="Times New Roman"/>
          <w:sz w:val="24"/>
          <w:szCs w:val="24"/>
        </w:rPr>
        <w:t xml:space="preserve">2.17. Поддерживать взаимодействие с родителями (законными представителями) обучающихся по вопросам обучения и воспитания, консультировать их по вопросам, отнесённым к компетенции учителя.</w:t>
      </w:r>
    </w:p>
    <w:p>
      <w:pPr>
        <w:spacing w:after="60" w:line="276"/>
        <w:ind w:left="0" w:firstLine="708"/>
        <w:jc w:val="both"/>
      </w:pPr>
      <w:r>
        <w:rPr>
          <w:rFonts w:ascii="Times New Roman" w:cs="Times New Roman" w:eastAsia="Times New Roman" w:hAnsi="Times New Roman"/>
          <w:sz w:val="24"/>
          <w:szCs w:val="24"/>
        </w:rPr>
        <w:t xml:space="preserve">2.18. Соблюдать права и свободы обучающихся, уважать честь и достоинство обучающихся и их родителей (законных представителей), не допускать разглашения сведений, ставших известными в связи с исполнением должностных обязанностей.</w:t>
      </w:r>
    </w:p>
    <w:p>
      <w:pPr>
        <w:pStyle w:val="Heading2"/>
        <w:keepNext/>
        <w:spacing w:after="60" w:before="120" w:line="276"/>
        <w:ind w:firstLine="708"/>
        <w:jc w:val="left"/>
      </w:pPr>
      <w:r>
        <w:rPr>
          <w:rFonts w:ascii="Times New Roman" w:cs="Times New Roman" w:eastAsia="Times New Roman" w:hAnsi="Times New Roman"/>
          <w:b/>
          <w:bCs/>
          <w:i/>
          <w:iCs/>
          <w:sz w:val="24"/>
          <w:szCs w:val="24"/>
        </w:rPr>
        <w:t xml:space="preserve">Охрана жизни, здоровья и безопасность</w:t>
      </w:r>
    </w:p>
    <w:p>
      <w:pPr>
        <w:spacing w:after="60" w:line="276"/>
        <w:ind w:left="0" w:firstLine="708"/>
        <w:jc w:val="both"/>
      </w:pPr>
      <w:r>
        <w:rPr>
          <w:rFonts w:ascii="Times New Roman" w:cs="Times New Roman" w:eastAsia="Times New Roman" w:hAnsi="Times New Roman"/>
          <w:sz w:val="24"/>
          <w:szCs w:val="24"/>
        </w:rPr>
        <w:t xml:space="preserve">2.19. Обеспечивать охрану жизни и здоровья обучающихся во время образовательной деятельности, при проведении учебных занятий, внеурочных мероприятий, экскурсий и поездок; сопровождать обучающихся в течение всего времени проведения мероприятия.</w:t>
      </w:r>
    </w:p>
    <w:p>
      <w:pPr>
        <w:spacing w:after="60" w:line="276"/>
        <w:ind w:left="0" w:firstLine="708"/>
        <w:jc w:val="both"/>
      </w:pPr>
      <w:r>
        <w:rPr>
          <w:rFonts w:ascii="Times New Roman" w:cs="Times New Roman" w:eastAsia="Times New Roman" w:hAnsi="Times New Roman"/>
          <w:sz w:val="24"/>
          <w:szCs w:val="24"/>
        </w:rPr>
        <w:t xml:space="preserve">2.20. Соблюдать требования охраны труда, пожарной безопасности, антитеррористической защищённости и СП 2.4.2.4283-26; обеспечивать соблюдение обучающимися инструкций по охране труда при проведении практических и лабораторных работ, занятий в специализированных кабинетах.</w:t>
      </w:r>
    </w:p>
    <w:p>
      <w:pPr>
        <w:spacing w:after="60" w:line="276"/>
        <w:ind w:left="0" w:firstLine="708"/>
        <w:jc w:val="both"/>
      </w:pPr>
      <w:r>
        <w:rPr>
          <w:rFonts w:ascii="Times New Roman" w:cs="Times New Roman" w:eastAsia="Times New Roman" w:hAnsi="Times New Roman"/>
          <w:sz w:val="24"/>
          <w:szCs w:val="24"/>
        </w:rPr>
        <w:t xml:space="preserve">2.21. Незамедлительно сообщать директору Организации либо иному должностному лицу о каждом несчастном случае с обучающимся или работником, об ухудшении состояния здоровья обучающегося, о ситуации, угрожающей жизни и здоровью людей; оказывать первую помощь пострадавшим.</w:t>
      </w:r>
    </w:p>
    <w:p>
      <w:pPr>
        <w:spacing w:after="60" w:line="276"/>
        <w:ind w:left="0" w:firstLine="708"/>
        <w:jc w:val="both"/>
      </w:pPr>
      <w:r>
        <w:rPr>
          <w:rFonts w:ascii="Times New Roman" w:cs="Times New Roman" w:eastAsia="Times New Roman" w:hAnsi="Times New Roman"/>
          <w:sz w:val="24"/>
          <w:szCs w:val="24"/>
        </w:rPr>
        <w:t xml:space="preserve">2.22. Проходить обязательные предварительные и периодические медицинские осмотры, профессиональную гигиеническую подготовку и аттестацию, вакцинацию в соответствии с национальным календарём профилактических прививок.</w:t>
      </w:r>
    </w:p>
    <w:p>
      <w:pPr>
        <w:pStyle w:val="Heading1"/>
        <w:keepNext/>
        <w:spacing w:after="120" w:before="240" w:line="276"/>
        <w:jc w:val="center"/>
      </w:pPr>
      <w:r>
        <w:rPr>
          <w:rFonts w:ascii="Times New Roman" w:cs="Times New Roman" w:eastAsia="Times New Roman" w:hAnsi="Times New Roman"/>
          <w:b/>
          <w:bCs/>
          <w:sz w:val="24"/>
          <w:szCs w:val="24"/>
        </w:rPr>
        <w:t xml:space="preserve">3. Права</w:t>
      </w:r>
    </w:p>
    <w:p>
      <w:pPr>
        <w:spacing w:after="60" w:before="0" w:line="276"/>
        <w:ind w:left="0" w:firstLine="708"/>
        <w:jc w:val="both"/>
      </w:pPr>
      <w:r>
        <w:rPr>
          <w:rFonts w:ascii="Times New Roman" w:cs="Times New Roman" w:eastAsia="Times New Roman" w:hAnsi="Times New Roman"/>
          <w:b w:val="false"/>
          <w:bCs w:val="false"/>
          <w:i w:val="false"/>
          <w:iCs w:val="false"/>
          <w:caps w:val="false"/>
          <w:sz w:val="24"/>
          <w:szCs w:val="24"/>
        </w:rPr>
        <w:t xml:space="preserve">Работник имеет право:</w:t>
      </w:r>
    </w:p>
    <w:p>
      <w:pPr>
        <w:spacing w:after="60" w:line="276"/>
        <w:ind w:left="0" w:firstLine="708"/>
        <w:jc w:val="both"/>
      </w:pPr>
      <w:r>
        <w:rPr>
          <w:rFonts w:ascii="Times New Roman" w:cs="Times New Roman" w:eastAsia="Times New Roman" w:hAnsi="Times New Roman"/>
          <w:sz w:val="24"/>
          <w:szCs w:val="24"/>
        </w:rPr>
        <w:t xml:space="preserve">3.1. на свободу преподавания, свободное выражение своего мнения, свободу от вмешательства в профессиональную деятельность;</w:t>
      </w:r>
    </w:p>
    <w:p>
      <w:pPr>
        <w:spacing w:after="60" w:line="276"/>
        <w:ind w:left="0" w:firstLine="708"/>
        <w:jc w:val="both"/>
      </w:pPr>
      <w:r>
        <w:rPr>
          <w:rFonts w:ascii="Times New Roman" w:cs="Times New Roman" w:eastAsia="Times New Roman" w:hAnsi="Times New Roman"/>
          <w:sz w:val="24"/>
          <w:szCs w:val="24"/>
        </w:rPr>
        <w:t xml:space="preserve">3.2. на свободу выбора и использования педагогически обоснованных форм, средств, методов обучения и воспитания;</w:t>
      </w:r>
    </w:p>
    <w:p>
      <w:pPr>
        <w:spacing w:after="60" w:line="276"/>
        <w:ind w:left="0" w:firstLine="708"/>
        <w:jc w:val="both"/>
      </w:pPr>
      <w:r>
        <w:rPr>
          <w:rFonts w:ascii="Times New Roman" w:cs="Times New Roman" w:eastAsia="Times New Roman" w:hAnsi="Times New Roman"/>
          <w:sz w:val="24"/>
          <w:szCs w:val="24"/>
        </w:rPr>
        <w:t xml:space="preserve">3.3. на творческую инициативу, разработку и применение авторских программ и методов обучения и воспитания в пределах реализуемой образовательной программы, отдельного учебного предмета, курса, дисциплины (модуля);</w:t>
      </w:r>
    </w:p>
    <w:p>
      <w:pPr>
        <w:spacing w:after="60" w:line="276"/>
        <w:ind w:left="0" w:firstLine="708"/>
        <w:jc w:val="both"/>
      </w:pPr>
      <w:r>
        <w:rPr>
          <w:rFonts w:ascii="Times New Roman" w:cs="Times New Roman" w:eastAsia="Times New Roman" w:hAnsi="Times New Roman"/>
          <w:sz w:val="24"/>
          <w:szCs w:val="24"/>
        </w:rPr>
        <w:t xml:space="preserve">3.4. на выбор учебников, учебных пособий, материалов и иных средств обучения и воспитания в соответствии с образовательной программой и в порядке, установленном законодательством об образовании;</w:t>
      </w:r>
    </w:p>
    <w:p>
      <w:pPr>
        <w:spacing w:after="60" w:line="276"/>
        <w:ind w:left="0" w:firstLine="708"/>
        <w:jc w:val="both"/>
      </w:pPr>
      <w:r>
        <w:rPr>
          <w:rFonts w:ascii="Times New Roman" w:cs="Times New Roman" w:eastAsia="Times New Roman" w:hAnsi="Times New Roman"/>
          <w:sz w:val="24"/>
          <w:szCs w:val="24"/>
        </w:rPr>
        <w:t xml:space="preserve">3.5. на участие в разработке образовательных программ, в том числе учебных планов, календарных учебных графиков, рабочих учебных предметов, курсов, дисциплин (модулей), методических материалов и иных компонентов образовательных программ;</w:t>
      </w:r>
    </w:p>
    <w:p>
      <w:pPr>
        <w:spacing w:after="60" w:line="276"/>
        <w:ind w:left="0" w:firstLine="708"/>
        <w:jc w:val="both"/>
      </w:pPr>
      <w:r>
        <w:rPr>
          <w:rFonts w:ascii="Times New Roman" w:cs="Times New Roman" w:eastAsia="Times New Roman" w:hAnsi="Times New Roman"/>
          <w:sz w:val="24"/>
          <w:szCs w:val="24"/>
        </w:rPr>
        <w:t xml:space="preserve">3.6. на осуществление научной, научно-технической, творческой, исследовательской деятельности, участие в экспериментальной и международной деятельности, разработках и во внедрении инноваций;</w:t>
      </w:r>
    </w:p>
    <w:p>
      <w:pPr>
        <w:spacing w:after="60" w:line="276"/>
        <w:ind w:left="0" w:firstLine="708"/>
        <w:jc w:val="both"/>
      </w:pPr>
      <w:r>
        <w:rPr>
          <w:rFonts w:ascii="Times New Roman" w:cs="Times New Roman" w:eastAsia="Times New Roman" w:hAnsi="Times New Roman"/>
          <w:sz w:val="24"/>
          <w:szCs w:val="24"/>
        </w:rPr>
        <w:t xml:space="preserve">3.7. на бесплатное пользование библиотеками и информационными ресурсами, а также доступ к информационно-телекоммуникационным сетям и базам данных, учебным и методическим материалам, материально-техническим средствам обеспечения образовательной деятельности;</w:t>
      </w:r>
    </w:p>
    <w:p>
      <w:pPr>
        <w:spacing w:after="60" w:line="276"/>
        <w:ind w:left="0" w:firstLine="708"/>
        <w:jc w:val="both"/>
      </w:pPr>
      <w:r>
        <w:rPr>
          <w:rFonts w:ascii="Times New Roman" w:cs="Times New Roman" w:eastAsia="Times New Roman" w:hAnsi="Times New Roman"/>
          <w:sz w:val="24"/>
          <w:szCs w:val="24"/>
        </w:rPr>
        <w:t xml:space="preserve">3.8. на участие в управлении Организацией, в том числе в коллегиальных органах управления, в порядке, установленном уставом;</w:t>
      </w:r>
    </w:p>
    <w:p>
      <w:pPr>
        <w:spacing w:after="60" w:line="276"/>
        <w:ind w:left="0" w:firstLine="708"/>
        <w:jc w:val="both"/>
      </w:pPr>
      <w:r>
        <w:rPr>
          <w:rFonts w:ascii="Times New Roman" w:cs="Times New Roman" w:eastAsia="Times New Roman" w:hAnsi="Times New Roman"/>
          <w:sz w:val="24"/>
          <w:szCs w:val="24"/>
        </w:rPr>
        <w:t xml:space="preserve">3.9. на обращение в комиссию по урегулированию споров между участниками образовательных отношений;</w:t>
      </w:r>
    </w:p>
    <w:p>
      <w:pPr>
        <w:spacing w:after="60" w:line="276"/>
        <w:ind w:left="0" w:firstLine="708"/>
        <w:jc w:val="both"/>
      </w:pPr>
      <w:r>
        <w:rPr>
          <w:rFonts w:ascii="Times New Roman" w:cs="Times New Roman" w:eastAsia="Times New Roman" w:hAnsi="Times New Roman"/>
          <w:sz w:val="24"/>
          <w:szCs w:val="24"/>
        </w:rPr>
        <w:t xml:space="preserve">3.10. на защиту профессиональной чести и достоинства, на справедливое и объективное расследование нарушения норм профессиональной этики педагогических работников;</w:t>
      </w:r>
    </w:p>
    <w:p>
      <w:pPr>
        <w:spacing w:after="60" w:line="276"/>
        <w:ind w:left="0" w:firstLine="708"/>
        <w:jc w:val="both"/>
      </w:pPr>
      <w:r>
        <w:rPr>
          <w:rFonts w:ascii="Times New Roman" w:cs="Times New Roman" w:eastAsia="Times New Roman" w:hAnsi="Times New Roman"/>
          <w:sz w:val="24"/>
          <w:szCs w:val="24"/>
        </w:rPr>
        <w:t xml:space="preserve">3.11. на сокращённую продолжительность рабочего времени, дополнительное профессиональное образование по профилю педагогической деятельности не реже одного раза в три года, ежегодный основной удлинённый оплачиваемый отпуск, длительный отпуск сроком до одного года не реже чем через каждые десять лет непрерывной педагогической работы, досрочное назначение страховой пенсии по старости и иные трудовые права и социальные гарантии, предусмотренные статьёй 47 Федерального закона № 273-ФЗ;</w:t>
      </w:r>
    </w:p>
    <w:p>
      <w:pPr>
        <w:spacing w:after="60" w:line="276"/>
        <w:ind w:left="0" w:firstLine="708"/>
        <w:jc w:val="both"/>
      </w:pPr>
      <w:r>
        <w:rPr>
          <w:rFonts w:ascii="Times New Roman" w:cs="Times New Roman" w:eastAsia="Times New Roman" w:hAnsi="Times New Roman"/>
          <w:sz w:val="24"/>
          <w:szCs w:val="24"/>
        </w:rPr>
        <w:t xml:space="preserve">3.12. определять формы и методы проведения учебных занятий в пределах реализуемой рабочей программы, самостоятельно выбирать формы и приёмы текущего контроля успеваемости в соответствии с локальным нормативным актом Организации;</w:t>
      </w:r>
    </w:p>
    <w:p>
      <w:pPr>
        <w:spacing w:after="60" w:line="276"/>
        <w:ind w:left="0" w:firstLine="708"/>
        <w:jc w:val="both"/>
      </w:pPr>
      <w:r>
        <w:rPr>
          <w:rFonts w:ascii="Times New Roman" w:cs="Times New Roman" w:eastAsia="Times New Roman" w:hAnsi="Times New Roman"/>
          <w:sz w:val="24"/>
          <w:szCs w:val="24"/>
        </w:rPr>
        <w:t xml:space="preserve">3.13. на сохранение объёма учебной нагрузки и преемственность преподавания учебных предметов при определении учебной нагрузки на новый учебный год (пункт 14 приложения № 2 к приказу Минпросвещения России от 4 апреля 2025 г. № 269 «О продолжительности рабочего времени (нормах часов педагогической работы за ставку заработной платы) педагогических работников…»);</w:t>
      </w:r>
    </w:p>
    <w:p>
      <w:pPr>
        <w:spacing w:after="60" w:line="276"/>
        <w:ind w:left="0" w:firstLine="708"/>
        <w:jc w:val="both"/>
      </w:pPr>
      <w:r>
        <w:rPr>
          <w:rFonts w:ascii="Times New Roman" w:cs="Times New Roman" w:eastAsia="Times New Roman" w:hAnsi="Times New Roman"/>
          <w:sz w:val="24"/>
          <w:szCs w:val="24"/>
        </w:rPr>
        <w:t xml:space="preserve">3.14. на меры поддержки, предусмотренные статьёй 47 Федерального закона от 29 декабря 2012 г. № 273-ФЗ «Об образовании в Российской Федерации», Указом Президента Российской Федерации от 20 июля 2026 г. № 498 «О дополнительных мерах поддержки учителей» и нормативными правовыми актами субъекта Российской Федерации, в том числе на наставничество в течение не менее одного года при первом трудоустройстве на педагогическую должность и на бесплатный доступ к электронным образовательным ресурсам, включённым в федеральный перечень. Перечень мер поддержки не является закрытым;</w:t>
      </w:r>
    </w:p>
    <w:p>
      <w:pPr>
        <w:spacing w:after="60" w:line="276"/>
        <w:ind w:left="0" w:firstLine="708"/>
        <w:jc w:val="both"/>
      </w:pPr>
      <w:r>
        <w:rPr>
          <w:rFonts w:ascii="Times New Roman" w:cs="Times New Roman" w:eastAsia="Times New Roman" w:hAnsi="Times New Roman"/>
          <w:sz w:val="24"/>
          <w:szCs w:val="24"/>
        </w:rPr>
        <w:t xml:space="preserve">3.15. знакомиться с проектами решений директора Организации, касающимися его деятельности;</w:t>
      </w:r>
    </w:p>
    <w:p>
      <w:pPr>
        <w:spacing w:after="60" w:line="276"/>
        <w:ind w:left="0" w:firstLine="708"/>
        <w:jc w:val="both"/>
      </w:pPr>
      <w:r>
        <w:rPr>
          <w:rFonts w:ascii="Times New Roman" w:cs="Times New Roman" w:eastAsia="Times New Roman" w:hAnsi="Times New Roman"/>
          <w:sz w:val="24"/>
          <w:szCs w:val="24"/>
        </w:rPr>
        <w:t xml:space="preserve">3.16. вносить на рассмотрение директора Организации предложения по совершенствованию работы, связанной с обязанностями, предусмотренными настоящей инструкцией;</w:t>
      </w:r>
    </w:p>
    <w:p>
      <w:pPr>
        <w:spacing w:after="60" w:line="276"/>
        <w:ind w:left="0" w:firstLine="708"/>
        <w:jc w:val="both"/>
      </w:pPr>
      <w:r>
        <w:rPr>
          <w:rFonts w:ascii="Times New Roman" w:cs="Times New Roman" w:eastAsia="Times New Roman" w:hAnsi="Times New Roman"/>
          <w:sz w:val="24"/>
          <w:szCs w:val="24"/>
        </w:rPr>
        <w:t xml:space="preserve">3.17. запрашивать и получать от работников Организации информацию и документы, необходимые для выполнения своих должностных обязанностей;</w:t>
      </w:r>
    </w:p>
    <w:p>
      <w:pPr>
        <w:spacing w:after="60" w:line="276"/>
        <w:ind w:left="0" w:firstLine="708"/>
        <w:jc w:val="both"/>
      </w:pPr>
      <w:r>
        <w:rPr>
          <w:rFonts w:ascii="Times New Roman" w:cs="Times New Roman" w:eastAsia="Times New Roman" w:hAnsi="Times New Roman"/>
          <w:sz w:val="24"/>
          <w:szCs w:val="24"/>
        </w:rPr>
        <w:t xml:space="preserve">3.18. требовать от директора Организации обеспечения организационно-технических условий, необходимых для исполнения должностных обязанностей, в том числе предоставления оборудования, инвентаря, средств индивидуальной защиты и рабочего места, соответствующего требованиям охраны труда;</w:t>
      </w:r>
    </w:p>
    <w:p>
      <w:pPr>
        <w:spacing w:after="60" w:line="276"/>
        <w:ind w:left="0" w:firstLine="708"/>
        <w:jc w:val="both"/>
      </w:pPr>
      <w:r>
        <w:rPr>
          <w:rFonts w:ascii="Times New Roman" w:cs="Times New Roman" w:eastAsia="Times New Roman" w:hAnsi="Times New Roman"/>
          <w:sz w:val="24"/>
          <w:szCs w:val="24"/>
        </w:rPr>
        <w:t xml:space="preserve">3.19. отказаться от выполнения работ в случае возникновения опасности для жизни и здоровья вследствие нарушения требований охраны труда до устранения такой опасности (статья 216 ТК РФ);</w:t>
      </w:r>
    </w:p>
    <w:p>
      <w:pPr>
        <w:spacing w:after="60" w:line="276"/>
        <w:ind w:left="0" w:firstLine="708"/>
        <w:jc w:val="both"/>
      </w:pPr>
      <w:r>
        <w:rPr>
          <w:rFonts w:ascii="Times New Roman" w:cs="Times New Roman" w:eastAsia="Times New Roman" w:hAnsi="Times New Roman"/>
          <w:sz w:val="24"/>
          <w:szCs w:val="24"/>
        </w:rPr>
        <w:t xml:space="preserve">3.20. на защиту профессиональной чести и достоинства, ознакомление с жалобами и другими документами, содержащими оценку его работы, и дачу по ним объяснений;</w:t>
      </w:r>
    </w:p>
    <w:p>
      <w:pPr>
        <w:spacing w:after="60" w:line="276"/>
        <w:ind w:left="0" w:firstLine="708"/>
        <w:jc w:val="both"/>
      </w:pPr>
      <w:r>
        <w:rPr>
          <w:rFonts w:ascii="Times New Roman" w:cs="Times New Roman" w:eastAsia="Times New Roman" w:hAnsi="Times New Roman"/>
          <w:sz w:val="24"/>
          <w:szCs w:val="24"/>
        </w:rPr>
        <w:t xml:space="preserve">3.21. на все предусмотренные законодательством Российской Федерации социальные гарантии, в том числе на обязательное социальное страхование.</w:t>
      </w:r>
    </w:p>
    <w:p>
      <w:pPr>
        <w:pStyle w:val="Heading1"/>
        <w:keepNext/>
        <w:spacing w:after="120" w:before="240" w:line="276"/>
        <w:jc w:val="center"/>
      </w:pPr>
      <w:r>
        <w:rPr>
          <w:rFonts w:ascii="Times New Roman" w:cs="Times New Roman" w:eastAsia="Times New Roman" w:hAnsi="Times New Roman"/>
          <w:b/>
          <w:bCs/>
          <w:sz w:val="24"/>
          <w:szCs w:val="24"/>
        </w:rPr>
        <w:t xml:space="preserve">4. Ответственность</w:t>
      </w:r>
    </w:p>
    <w:p>
      <w:pPr>
        <w:spacing w:after="60" w:before="0" w:line="276"/>
        <w:ind w:left="0" w:firstLine="708"/>
        <w:jc w:val="both"/>
      </w:pPr>
      <w:r>
        <w:rPr>
          <w:rFonts w:ascii="Times New Roman" w:cs="Times New Roman" w:eastAsia="Times New Roman" w:hAnsi="Times New Roman"/>
          <w:b w:val="false"/>
          <w:bCs w:val="false"/>
          <w:i w:val="false"/>
          <w:iCs w:val="false"/>
          <w:caps w:val="false"/>
          <w:sz w:val="24"/>
          <w:szCs w:val="24"/>
        </w:rPr>
        <w:t xml:space="preserve">Работник несёт ответственность только при наличии предусмотренных законом оснований, доказанной вины и причинной связи, с соблюдением установленной процедуры привлечения к ответственности:</w:t>
      </w:r>
    </w:p>
    <w:p>
      <w:pPr>
        <w:spacing w:after="60" w:line="276"/>
        <w:ind w:left="0" w:firstLine="708"/>
        <w:jc w:val="both"/>
      </w:pPr>
      <w:r>
        <w:rPr>
          <w:rFonts w:ascii="Times New Roman" w:cs="Times New Roman" w:eastAsia="Times New Roman" w:hAnsi="Times New Roman"/>
          <w:sz w:val="24"/>
          <w:szCs w:val="24"/>
        </w:rPr>
        <w:t xml:space="preserve">4.1. за неисполнение или ненадлежащее исполнение своих обязанностей, предусмотренных настоящей должностной инструкцией, — в пределах, определённых трудовым законодательством Российской Федерации;</w:t>
      </w:r>
    </w:p>
    <w:p>
      <w:pPr>
        <w:spacing w:after="60" w:line="276"/>
        <w:ind w:left="0" w:firstLine="708"/>
        <w:jc w:val="both"/>
      </w:pPr>
      <w:r>
        <w:rPr>
          <w:rFonts w:ascii="Times New Roman" w:cs="Times New Roman" w:eastAsia="Times New Roman" w:hAnsi="Times New Roman"/>
          <w:sz w:val="24"/>
          <w:szCs w:val="24"/>
        </w:rPr>
        <w:t xml:space="preserve">4.2. за правонарушения, совершённые в процессе осуществления своей деятельности, — в пределах, определённых действующим административным, уголовным и гражданским законодательством Российской Федерации;</w:t>
      </w:r>
    </w:p>
    <w:p>
      <w:pPr>
        <w:spacing w:after="60" w:line="276"/>
        <w:ind w:left="0" w:firstLine="708"/>
        <w:jc w:val="both"/>
      </w:pPr>
      <w:r>
        <w:rPr>
          <w:rFonts w:ascii="Times New Roman" w:cs="Times New Roman" w:eastAsia="Times New Roman" w:hAnsi="Times New Roman"/>
          <w:sz w:val="24"/>
          <w:szCs w:val="24"/>
        </w:rPr>
        <w:t xml:space="preserve">4.3. за причинение материального ущерба — в пределах, определённых действующим трудовым и гражданским законодательством Российской Федерации. Работник несёт материальную ответственность за прямой действительный ущерб; неполученные доходы (упущенная выгода) взысканию с работника не подлежат (статья 238 ТК РФ). Полная материальная ответственность возлагается только в случаях, прямо предусмотренных статьёй 243 ТК РФ;</w:t>
      </w:r>
    </w:p>
    <w:p>
      <w:pPr>
        <w:spacing w:after="60" w:line="276"/>
        <w:ind w:left="0" w:firstLine="708"/>
        <w:jc w:val="both"/>
      </w:pPr>
      <w:r>
        <w:rPr>
          <w:rFonts w:ascii="Times New Roman" w:cs="Times New Roman" w:eastAsia="Times New Roman" w:hAnsi="Times New Roman"/>
          <w:sz w:val="24"/>
          <w:szCs w:val="24"/>
        </w:rPr>
        <w:t xml:space="preserve">4.4. за нарушение требований охраны труда, пожарной безопасности, санитарных правил и правил внутреннего трудового распорядка — в порядке и пределах, установленных законодательством Российской Федерации;</w:t>
      </w:r>
    </w:p>
    <w:p>
      <w:pPr>
        <w:spacing w:after="60" w:line="276"/>
        <w:ind w:left="0" w:firstLine="708"/>
        <w:jc w:val="both"/>
      </w:pPr>
      <w:r>
        <w:rPr>
          <w:rFonts w:ascii="Times New Roman" w:cs="Times New Roman" w:eastAsia="Times New Roman" w:hAnsi="Times New Roman"/>
          <w:sz w:val="24"/>
          <w:szCs w:val="24"/>
        </w:rPr>
        <w:t xml:space="preserve">4.5. за разглашение персональных данных обучающихся, их родителей (законных представителей) и работников, а равно за иную неправомерную обработку персональных данных — в соответствии с законодательством Российской Федерации.</w:t>
      </w:r>
    </w:p>
    <w:p>
      <w:pPr>
        <w:spacing w:after="60" w:line="276"/>
        <w:ind w:left="0" w:firstLine="708"/>
        <w:jc w:val="both"/>
      </w:pPr>
      <w:r>
        <w:rPr>
          <w:rFonts w:ascii="Times New Roman" w:cs="Times New Roman" w:eastAsia="Times New Roman" w:hAnsi="Times New Roman"/>
          <w:sz w:val="24"/>
          <w:szCs w:val="24"/>
        </w:rPr>
        <w:t xml:space="preserve">4.6. за реализацию не в полном объёме образовательных программ в соответствии с учебным планом и рабочей программой учебного предмета — в пределах закреплённой за ним учебной нагрузки;</w:t>
      </w:r>
    </w:p>
    <w:p>
      <w:pPr>
        <w:spacing w:after="60" w:line="276"/>
        <w:ind w:left="0" w:firstLine="708"/>
        <w:jc w:val="both"/>
      </w:pPr>
      <w:r>
        <w:rPr>
          <w:rFonts w:ascii="Times New Roman" w:cs="Times New Roman" w:eastAsia="Times New Roman" w:hAnsi="Times New Roman"/>
          <w:sz w:val="24"/>
          <w:szCs w:val="24"/>
        </w:rPr>
        <w:t xml:space="preserve">4.7. за необъективность оценки результатов освоения обучающимися образовательной программы — в порядке, установленном локальными нормативными актами Организации и законодательством Российской Федерации;</w:t>
      </w:r>
    </w:p>
    <w:p>
      <w:pPr>
        <w:spacing w:after="60" w:line="276"/>
        <w:ind w:left="0" w:firstLine="708"/>
        <w:jc w:val="both"/>
      </w:pPr>
      <w:r>
        <w:rPr>
          <w:rFonts w:ascii="Times New Roman" w:cs="Times New Roman" w:eastAsia="Times New Roman" w:hAnsi="Times New Roman"/>
          <w:sz w:val="24"/>
          <w:szCs w:val="24"/>
        </w:rPr>
        <w:t xml:space="preserve">4.8. за нарушение прав и свобод обучающихся, за применение, в том числе однократное, методов воспитания, связанных с физическим и (или) психическим насилием над личностью обучающегося, — вплоть до увольнения по пункту 2 статьи 336 ТК РФ;</w:t>
      </w:r>
    </w:p>
    <w:p>
      <w:pPr>
        <w:spacing w:after="60" w:line="276"/>
        <w:ind w:left="0" w:firstLine="708"/>
        <w:jc w:val="both"/>
      </w:pPr>
      <w:r>
        <w:rPr>
          <w:rFonts w:ascii="Times New Roman" w:cs="Times New Roman" w:eastAsia="Times New Roman" w:hAnsi="Times New Roman"/>
          <w:sz w:val="24"/>
          <w:szCs w:val="24"/>
        </w:rPr>
        <w:t xml:space="preserve">4.9. за жизнь и здоровье обучающихся во время образовательной деятельности и в период их нахождения под непосредственным присмотром работника — в порядке, установленном законодательством Российской Федерации.</w:t>
      </w:r>
    </w:p>
    <w:p>
      <w:pPr>
        <w:spacing w:after="60" w:before="0" w:line="276"/>
        <w:ind w:left="0" w:firstLine="708"/>
        <w:jc w:val="both"/>
      </w:pPr>
      <w:r>
        <w:rPr>
          <w:rFonts w:ascii="Times New Roman" w:cs="Times New Roman" w:eastAsia="Times New Roman" w:hAnsi="Times New Roman"/>
          <w:b w:val="false"/>
          <w:bCs w:val="false"/>
          <w:i w:val="false"/>
          <w:iCs w:val="false"/>
          <w:caps w:val="false"/>
          <w:sz w:val="24"/>
          <w:szCs w:val="24"/>
        </w:rPr>
        <w:t xml:space="preserve">Порядок применения дисциплинарных взысканий установлен статьями 192 и 193 ТК РФ. Привлечение работника к дисциплинарной ответственности без истребования письменного объяснения и соблюдения установленных сроков не допускается.</w:t>
      </w:r>
    </w:p>
    <w:p>
      <w:pPr>
        <w:pStyle w:val="Heading1"/>
        <w:keepNext/>
        <w:spacing w:after="120" w:before="240" w:line="276"/>
        <w:jc w:val="center"/>
      </w:pPr>
      <w:r>
        <w:rPr>
          <w:rFonts w:ascii="Times New Roman" w:cs="Times New Roman" w:eastAsia="Times New Roman" w:hAnsi="Times New Roman"/>
          <w:b/>
          <w:bCs/>
          <w:sz w:val="24"/>
          <w:szCs w:val="24"/>
        </w:rPr>
        <w:t xml:space="preserve">5. Заключительные положения</w:t>
      </w:r>
    </w:p>
    <w:p>
      <w:pPr>
        <w:spacing w:after="60" w:line="276"/>
        <w:ind w:left="0" w:firstLine="708"/>
        <w:jc w:val="both"/>
      </w:pPr>
      <w:r>
        <w:rPr>
          <w:rFonts w:ascii="Times New Roman" w:cs="Times New Roman" w:eastAsia="Times New Roman" w:hAnsi="Times New Roman"/>
          <w:sz w:val="24"/>
          <w:szCs w:val="24"/>
        </w:rPr>
        <w:t xml:space="preserve">5.1. Настоящая должностная инструкция разработана в соответствии с законодательством Российской Федерации, уставом Организации и локальными нормативными актами Организации, принятыми с учётом мнения представительного органа работников.</w:t>
      </w:r>
    </w:p>
    <w:p>
      <w:pPr>
        <w:spacing w:after="60" w:line="276"/>
        <w:ind w:left="0" w:firstLine="708"/>
        <w:jc w:val="both"/>
      </w:pPr>
      <w:r>
        <w:rPr>
          <w:rFonts w:ascii="Times New Roman" w:cs="Times New Roman" w:eastAsia="Times New Roman" w:hAnsi="Times New Roman"/>
          <w:sz w:val="24"/>
          <w:szCs w:val="24"/>
        </w:rPr>
        <w:t xml:space="preserve">5.2. Настоящая должностная инструкция вступает в силу с даты, указанной в приказе о введении её в действие, но не ранее даты её утверждения, и действует до её замены новой должностной инструкцией. Если приказ о введении в действие не издавался, инструкция вступает в силу со дня её утверждения.</w:t>
      </w:r>
    </w:p>
    <w:p>
      <w:pPr>
        <w:spacing w:after="60" w:line="276"/>
        <w:ind w:left="0" w:firstLine="708"/>
        <w:jc w:val="both"/>
      </w:pPr>
      <w:r>
        <w:rPr>
          <w:rFonts w:ascii="Times New Roman" w:cs="Times New Roman" w:eastAsia="Times New Roman" w:hAnsi="Times New Roman"/>
          <w:sz w:val="24"/>
          <w:szCs w:val="24"/>
        </w:rPr>
        <w:t xml:space="preserve">5.3. Работник знакомится с должностной инструкцией под подпись до подписания трудового договора (часть третья статьи 68 ТК РФ). Один экземпляр инструкции выдаётся работнику на руки либо обеспечивается его доступ к актуальной электронной версии.</w:t>
      </w:r>
    </w:p>
    <w:p>
      <w:pPr>
        <w:spacing w:after="60" w:line="276"/>
        <w:ind w:left="0" w:firstLine="708"/>
        <w:jc w:val="both"/>
      </w:pPr>
      <w:r>
        <w:rPr>
          <w:rFonts w:ascii="Times New Roman" w:cs="Times New Roman" w:eastAsia="Times New Roman" w:hAnsi="Times New Roman"/>
          <w:sz w:val="24"/>
          <w:szCs w:val="24"/>
        </w:rPr>
        <w:t xml:space="preserve">5.4. Если должностная инструкция является приложением к трудовому договору, внесение в неё изменений оформляется в порядке, установленном для изменения условий трудового договора (статьи 72, 74 ТК РФ). Изменение трудовой функции работника в одностороннем порядке не допускается.</w:t>
      </w:r>
    </w:p>
    <w:p>
      <w:pPr>
        <w:spacing w:after="60" w:line="276"/>
        <w:ind w:left="0" w:firstLine="708"/>
        <w:jc w:val="both"/>
      </w:pPr>
      <w:r>
        <w:rPr>
          <w:rFonts w:ascii="Times New Roman" w:cs="Times New Roman" w:eastAsia="Times New Roman" w:hAnsi="Times New Roman"/>
          <w:sz w:val="24"/>
          <w:szCs w:val="24"/>
        </w:rPr>
        <w:t xml:space="preserve">5.5. Настоящая должностная инструкция пересматривается при изменении законодательства Российской Федерации, устава Организации, штатного расписания, структуры Организации, реализуемых образовательных программ, применяемых технологий и условий труда, а также по результатам специальной оценки условий труда. Периодичность планового пересмотра законодательством не установлена и определяется работодателем самостоятельно.</w:t>
      </w:r>
    </w:p>
    <w:p>
      <w:pPr>
        <w:spacing w:after="60" w:line="276"/>
        <w:ind w:left="0" w:firstLine="708"/>
        <w:jc w:val="both"/>
      </w:pPr>
      <w:r>
        <w:rPr>
          <w:rFonts w:ascii="Times New Roman" w:cs="Times New Roman" w:eastAsia="Times New Roman" w:hAnsi="Times New Roman"/>
          <w:sz w:val="24"/>
          <w:szCs w:val="24"/>
        </w:rPr>
        <w:t xml:space="preserve">5.6. При противоречии положений настоящей инструкции нормативному правовому акту большей юридической силы применяется нормативный правовой акт. О выявленном противоречии работник письменно уведомляет директора Организации.</w:t>
      </w:r>
    </w:p>
    <w:p>
      <w:pPr>
        <w:spacing w:after="60" w:line="276"/>
        <w:ind w:left="0" w:firstLine="708"/>
        <w:jc w:val="both"/>
      </w:pPr>
      <w:r>
        <w:rPr>
          <w:rFonts w:ascii="Times New Roman" w:cs="Times New Roman" w:eastAsia="Times New Roman" w:hAnsi="Times New Roman"/>
          <w:sz w:val="24"/>
          <w:szCs w:val="24"/>
        </w:rPr>
        <w:t xml:space="preserve">5.7. Возложение на работника обязанностей, не предусмотренных настоящей должностной инструкцией и выходящих за пределы его трудовой функции, допускается только с письменного согласия работника, с оформлением совмещения (расширения зон обслуживания, увеличения объёма работы) и доплатой в порядке статьи 60.2 и статьи 151 ТК РФ.</w:t>
      </w:r>
    </w:p>
    <w:p>
      <w:pPr>
        <w:spacing w:after="60" w:line="276"/>
        <w:ind w:left="0" w:firstLine="708"/>
        <w:jc w:val="both"/>
      </w:pPr>
      <w:r>
        <w:rPr>
          <w:rFonts w:ascii="Times New Roman" w:cs="Times New Roman" w:eastAsia="Times New Roman" w:hAnsi="Times New Roman"/>
          <w:sz w:val="24"/>
          <w:szCs w:val="24"/>
        </w:rPr>
        <w:t xml:space="preserve">5.8. Материальная ответственность в полном размере, доверенности, допуски и специальные назначения оформляются отдельными документами при наличии предусмотренных законом оснований.</w:t>
      </w:r>
    </w:p>
    <w:p>
      <w:pPr>
        <w:spacing w:after="120" w:before="240" w:line="276"/>
        <w:ind w:left="0" w:firstLine="0"/>
        <w:jc w:val="both"/>
      </w:pPr>
      <w:r>
        <w:rPr>
          <w:rFonts w:ascii="Times New Roman" w:cs="Times New Roman" w:eastAsia="Times New Roman" w:hAnsi="Times New Roman"/>
          <w:b w:val="false"/>
          <w:bCs w:val="false"/>
          <w:i w:val="false"/>
          <w:iCs w:val="false"/>
          <w:caps w:val="false"/>
          <w:sz w:val="24"/>
          <w:szCs w:val="24"/>
        </w:rPr>
        <w:t xml:space="preserve"/>
      </w:r>
    </w:p>
    <w:tbl>
      <w:tblPr>
        <w:tblW w:type="pct" w:w="100%"/>
        <w:tblBorders>
          <w:top w:val="none" w:color="FFFFFF" w:sz="0"/>
          <w:left w:val="none" w:color="FFFFFF" w:sz="0"/>
          <w:bottom w:val="none" w:color="FFFFFF" w:sz="0"/>
          <w:right w:val="none" w:color="FFFFFF" w:sz="0"/>
          <w:insideH w:val="none" w:color="FFFFFF" w:sz="0"/>
          <w:insideV w:val="none" w:color="FFFFFF" w:sz="0"/>
        </w:tblBorders>
      </w:tblPr>
      <w:tblGrid>
        <w:gridCol w:w="4700"/>
        <w:gridCol w:w="4700"/>
      </w:tblGrid>
      <w:tr>
        <w:tc>
          <w:tcPr>
            <w:tcW w:type="pct" w:w="50%"/>
            <w:tcBorders>
              <w:top w:val="none" w:color="FFFFFF" w:sz="0"/>
              <w:left w:val="none" w:color="FFFFFF" w:sz="0"/>
              <w:bottom w:val="none" w:color="FFFFFF" w:sz="0"/>
              <w:right w:val="none" w:color="FFFFFF" w:sz="0"/>
            </w:tcBorders>
            <w:tcMar>
              <w:top w:type="dxa" w:w="0"/>
              <w:left w:type="dxa" w:w="0"/>
              <w:bottom w:type="dxa" w:w="0"/>
              <w:right w:type="dxa" w:w="0"/>
            </w:tcMar>
            <w:vAlign w:val="top"/>
          </w:tcPr>
          <w:p>
            <w:pPr>
              <w:spacing w:after="0" w:line="240"/>
              <w:jc w:val="left"/>
            </w:pPr>
            <w:r>
              <w:rPr>
                <w:rFonts w:ascii="Times New Roman" w:cs="Times New Roman" w:eastAsia="Times New Roman" w:hAnsi="Times New Roman"/>
                <w:b w:val="false"/>
                <w:bCs w:val="false"/>
                <w:i w:val="false"/>
                <w:iCs w:val="false"/>
                <w:sz w:val="24"/>
                <w:szCs w:val="24"/>
              </w:rPr>
              <w:t xml:space="preserve">Должностную инструкцию разработал:</w:t>
            </w:r>
          </w:p>
          <w:p>
            <w:pPr>
              <w:spacing w:after="0" w:line="240"/>
              <w:jc w:val="left"/>
            </w:pPr>
            <w:r>
              <w:rPr>
                <w:rFonts w:ascii="Times New Roman" w:cs="Times New Roman" w:eastAsia="Times New Roman" w:hAnsi="Times New Roman"/>
                <w:b w:val="false"/>
                <w:bCs w:val="false"/>
                <w:i w:val="false"/>
                <w:iCs w:val="false"/>
                <w:sz w:val="24"/>
                <w:szCs w:val="24"/>
              </w:rPr>
              <w:t xml:space="preserve"/>
            </w:r>
          </w:p>
          <w:p>
            <w:pPr>
              <w:spacing w:after="0" w:line="240"/>
              <w:jc w:val="left"/>
            </w:pPr>
            <w:r>
              <w:rPr>
                <w:rFonts w:ascii="Times New Roman" w:cs="Times New Roman" w:eastAsia="Times New Roman" w:hAnsi="Times New Roman"/>
                <w:b w:val="false"/>
                <w:bCs w:val="false"/>
                <w:i w:val="false"/>
                <w:iCs w:val="false"/>
                <w:sz w:val="24"/>
                <w:szCs w:val="24"/>
              </w:rPr>
              <w:t xml:space="preserve">_______________  __________  ____________</w:t>
            </w:r>
          </w:p>
          <w:p>
            <w:pPr>
              <w:spacing w:after="0" w:line="240"/>
              <w:jc w:val="left"/>
            </w:pPr>
            <w:r>
              <w:rPr>
                <w:rFonts w:ascii="Times New Roman" w:cs="Times New Roman" w:eastAsia="Times New Roman" w:hAnsi="Times New Roman"/>
                <w:b w:val="false"/>
                <w:bCs w:val="false"/>
                <w:i w:val="false"/>
                <w:iCs w:val="false"/>
                <w:sz w:val="18"/>
                <w:szCs w:val="18"/>
              </w:rPr>
              <w:t xml:space="preserve">   (должность)      (подпись)   (И. О. Фамилия)</w:t>
            </w:r>
          </w:p>
          <w:p>
            <w:pPr>
              <w:spacing w:after="0" w:line="240"/>
              <w:jc w:val="left"/>
            </w:pPr>
            <w:r>
              <w:rPr>
                <w:rFonts w:ascii="Times New Roman" w:cs="Times New Roman" w:eastAsia="Times New Roman" w:hAnsi="Times New Roman"/>
                <w:b w:val="false"/>
                <w:bCs w:val="false"/>
                <w:i w:val="false"/>
                <w:iCs w:val="false"/>
                <w:sz w:val="24"/>
                <w:szCs w:val="24"/>
              </w:rPr>
              <w:t xml:space="preserve"/>
            </w:r>
          </w:p>
          <w:p>
            <w:pPr>
              <w:spacing w:after="0" w:line="240"/>
              <w:jc w:val="left"/>
            </w:pPr>
            <w:r>
              <w:rPr>
                <w:rFonts w:ascii="Times New Roman" w:cs="Times New Roman" w:eastAsia="Times New Roman" w:hAnsi="Times New Roman"/>
                <w:b w:val="false"/>
                <w:bCs w:val="false"/>
                <w:i w:val="false"/>
                <w:iCs w:val="false"/>
                <w:sz w:val="24"/>
                <w:szCs w:val="24"/>
              </w:rPr>
              <w:t xml:space="preserve">«____» ____________ 20____ г.</w:t>
            </w:r>
          </w:p>
        </w:tc>
        <w:tc>
          <w:tcPr>
            <w:tcW w:type="pct" w:w="50%"/>
            <w:tcBorders>
              <w:top w:val="none" w:color="FFFFFF" w:sz="0"/>
              <w:left w:val="none" w:color="FFFFFF" w:sz="0"/>
              <w:bottom w:val="none" w:color="FFFFFF" w:sz="0"/>
              <w:right w:val="none" w:color="FFFFFF" w:sz="0"/>
            </w:tcBorders>
            <w:tcMar>
              <w:top w:type="dxa" w:w="0"/>
              <w:left w:type="dxa" w:w="0"/>
              <w:bottom w:type="dxa" w:w="0"/>
              <w:right w:type="dxa" w:w="0"/>
            </w:tcMar>
            <w:vAlign w:val="top"/>
          </w:tcPr>
          <w:p>
            <w:pPr>
              <w:spacing w:after="0" w:line="240"/>
              <w:jc w:val="left"/>
            </w:pPr>
            <w:r>
              <w:rPr>
                <w:rFonts w:ascii="Times New Roman" w:cs="Times New Roman" w:eastAsia="Times New Roman" w:hAnsi="Times New Roman"/>
                <w:b w:val="false"/>
                <w:bCs w:val="false"/>
                <w:i w:val="false"/>
                <w:iCs w:val="false"/>
                <w:sz w:val="24"/>
                <w:szCs w:val="24"/>
              </w:rPr>
              <w:t xml:space="preserve">СОГЛАСОВАНО</w:t>
            </w:r>
          </w:p>
          <w:p>
            <w:pPr>
              <w:spacing w:after="0" w:line="240"/>
              <w:jc w:val="left"/>
            </w:pPr>
            <w:r>
              <w:rPr>
                <w:rFonts w:ascii="Times New Roman" w:cs="Times New Roman" w:eastAsia="Times New Roman" w:hAnsi="Times New Roman"/>
                <w:b w:val="false"/>
                <w:bCs w:val="false"/>
                <w:i w:val="false"/>
                <w:iCs w:val="false"/>
                <w:sz w:val="24"/>
                <w:szCs w:val="24"/>
              </w:rPr>
              <w:t xml:space="preserve"/>
            </w:r>
          </w:p>
          <w:p>
            <w:pPr>
              <w:spacing w:after="0" w:line="240"/>
              <w:jc w:val="left"/>
            </w:pPr>
            <w:r>
              <w:rPr>
                <w:rFonts w:ascii="Times New Roman" w:cs="Times New Roman" w:eastAsia="Times New Roman" w:hAnsi="Times New Roman"/>
                <w:b w:val="false"/>
                <w:bCs w:val="false"/>
                <w:i w:val="false"/>
                <w:iCs w:val="false"/>
                <w:sz w:val="24"/>
                <w:szCs w:val="24"/>
              </w:rPr>
              <w:t xml:space="preserve">_______________  __________  ____________</w:t>
            </w:r>
          </w:p>
          <w:p>
            <w:pPr>
              <w:spacing w:after="0" w:line="240"/>
              <w:jc w:val="left"/>
            </w:pPr>
            <w:r>
              <w:rPr>
                <w:rFonts w:ascii="Times New Roman" w:cs="Times New Roman" w:eastAsia="Times New Roman" w:hAnsi="Times New Roman"/>
                <w:b w:val="false"/>
                <w:bCs w:val="false"/>
                <w:i w:val="false"/>
                <w:iCs w:val="false"/>
                <w:sz w:val="18"/>
                <w:szCs w:val="18"/>
              </w:rPr>
              <w:t xml:space="preserve">   (должность)      (подпись)   (И. О. Фамилия)</w:t>
            </w:r>
          </w:p>
          <w:p>
            <w:pPr>
              <w:spacing w:after="0" w:line="240"/>
              <w:jc w:val="left"/>
            </w:pPr>
            <w:r>
              <w:rPr>
                <w:rFonts w:ascii="Times New Roman" w:cs="Times New Roman" w:eastAsia="Times New Roman" w:hAnsi="Times New Roman"/>
                <w:b w:val="false"/>
                <w:bCs w:val="false"/>
                <w:i w:val="false"/>
                <w:iCs w:val="false"/>
                <w:sz w:val="24"/>
                <w:szCs w:val="24"/>
              </w:rPr>
              <w:t xml:space="preserve"/>
            </w:r>
          </w:p>
          <w:p>
            <w:pPr>
              <w:spacing w:after="0" w:line="240"/>
              <w:jc w:val="left"/>
            </w:pPr>
            <w:r>
              <w:rPr>
                <w:rFonts w:ascii="Times New Roman" w:cs="Times New Roman" w:eastAsia="Times New Roman" w:hAnsi="Times New Roman"/>
                <w:b w:val="false"/>
                <w:bCs w:val="false"/>
                <w:i w:val="false"/>
                <w:iCs w:val="false"/>
                <w:sz w:val="24"/>
                <w:szCs w:val="24"/>
              </w:rPr>
              <w:t xml:space="preserve">«____» ____________ 20____ г.</w:t>
            </w:r>
          </w:p>
        </w:tc>
      </w:tr>
    </w:tbl>
    <w:p>
      <w:pPr>
        <w:spacing w:after="200" w:before="0" w:line="276"/>
        <w:ind w:left="0" w:firstLine="0"/>
        <w:jc w:val="both"/>
      </w:pPr>
      <w:r>
        <w:rPr>
          <w:rFonts w:ascii="Times New Roman" w:cs="Times New Roman" w:eastAsia="Times New Roman" w:hAnsi="Times New Roman"/>
          <w:b w:val="false"/>
          <w:bCs w:val="false"/>
          <w:i w:val="false"/>
          <w:iCs w:val="false"/>
          <w:caps w:val="false"/>
          <w:sz w:val="24"/>
          <w:szCs w:val="24"/>
        </w:rPr>
        <w:t xml:space="preserve"/>
      </w:r>
    </w:p>
    <w:p>
      <w:pPr>
        <w:spacing w:after="120" w:before="0" w:line="276"/>
        <w:ind w:left="0" w:firstLine="708"/>
        <w:jc w:val="both"/>
      </w:pPr>
      <w:r>
        <w:rPr>
          <w:rFonts w:ascii="Times New Roman" w:cs="Times New Roman" w:eastAsia="Times New Roman" w:hAnsi="Times New Roman"/>
          <w:b w:val="false"/>
          <w:bCs w:val="false"/>
          <w:i w:val="false"/>
          <w:iCs w:val="false"/>
          <w:caps w:val="false"/>
          <w:sz w:val="24"/>
          <w:szCs w:val="24"/>
        </w:rPr>
        <w:t xml:space="preserve">С должностной инструкцией ознакомлен(а), права и обязанности мне разъяснены и понятны. Второй экземпляр должностной инструкции получен на руки (либо обеспечен доступ к актуальной электронной версии):</w:t>
      </w:r>
    </w:p>
    <w:tbl>
      <w:tblPr>
        <w:tblW w:type="pct" w:w="100%"/>
        <w:tblBorders>
          <w:top w:val="single" w:color="000000" w:sz="4"/>
          <w:left w:val="single" w:color="000000" w:sz="4"/>
          <w:bottom w:val="single" w:color="000000" w:sz="4"/>
          <w:right w:val="single" w:color="000000" w:sz="4"/>
          <w:insideH w:val="single" w:color="000000" w:sz="4"/>
          <w:insideV w:val="single" w:color="000000" w:sz="4"/>
        </w:tblBorders>
      </w:tblPr>
      <w:tblGrid>
        <w:gridCol w:w="700"/>
        <w:gridCol w:w="3200"/>
        <w:gridCol w:w="2200"/>
        <w:gridCol w:w="1700"/>
        <w:gridCol w:w="1600"/>
      </w:tblGrid>
      <w:tr>
        <w:trPr>
          <w:cantSplit/>
          <w:tblHeader/>
        </w:trPr>
        <w:tc>
          <w:tcPr>
            <w:tcMar>
              <w:top w:type="dxa" w:w="60"/>
              <w:left w:type="dxa" w:w="60"/>
              <w:bottom w:type="dxa" w:w="60"/>
              <w:right w:type="dxa" w:w="60"/>
            </w:tcMar>
          </w:tcPr>
          <w:p>
            <w:pPr>
              <w:spacing w:after="0" w:line="240"/>
              <w:jc w:val="center"/>
            </w:pPr>
            <w:r>
              <w:rPr>
                <w:rFonts w:ascii="Times New Roman" w:cs="Times New Roman" w:eastAsia="Times New Roman" w:hAnsi="Times New Roman"/>
                <w:b/>
                <w:bCs/>
                <w:i w:val="false"/>
                <w:iCs w:val="false"/>
                <w:sz w:val="22"/>
                <w:szCs w:val="22"/>
              </w:rPr>
              <w:t xml:space="preserve">№</w:t>
            </w:r>
          </w:p>
        </w:tc>
        <w:tc>
          <w:tcPr>
            <w:tcMar>
              <w:top w:type="dxa" w:w="60"/>
              <w:left w:type="dxa" w:w="60"/>
              <w:bottom w:type="dxa" w:w="60"/>
              <w:right w:type="dxa" w:w="60"/>
            </w:tcMar>
          </w:tcPr>
          <w:p>
            <w:pPr>
              <w:spacing w:after="0" w:line="240"/>
              <w:jc w:val="center"/>
            </w:pPr>
            <w:r>
              <w:rPr>
                <w:rFonts w:ascii="Times New Roman" w:cs="Times New Roman" w:eastAsia="Times New Roman" w:hAnsi="Times New Roman"/>
                <w:b/>
                <w:bCs/>
                <w:i w:val="false"/>
                <w:iCs w:val="false"/>
                <w:sz w:val="22"/>
                <w:szCs w:val="22"/>
              </w:rPr>
              <w:t xml:space="preserve">Фамилия, имя, отчество (при наличии)</w:t>
            </w:r>
          </w:p>
        </w:tc>
        <w:tc>
          <w:tcPr>
            <w:tcMar>
              <w:top w:type="dxa" w:w="60"/>
              <w:left w:type="dxa" w:w="60"/>
              <w:bottom w:type="dxa" w:w="60"/>
              <w:right w:type="dxa" w:w="60"/>
            </w:tcMar>
          </w:tcPr>
          <w:p>
            <w:pPr>
              <w:spacing w:after="0" w:line="240"/>
              <w:jc w:val="center"/>
            </w:pPr>
            <w:r>
              <w:rPr>
                <w:rFonts w:ascii="Times New Roman" w:cs="Times New Roman" w:eastAsia="Times New Roman" w:hAnsi="Times New Roman"/>
                <w:b/>
                <w:bCs/>
                <w:i w:val="false"/>
                <w:iCs w:val="false"/>
                <w:sz w:val="22"/>
                <w:szCs w:val="22"/>
              </w:rPr>
              <w:t xml:space="preserve">Должность</w:t>
            </w:r>
          </w:p>
        </w:tc>
        <w:tc>
          <w:tcPr>
            <w:tcMar>
              <w:top w:type="dxa" w:w="60"/>
              <w:left w:type="dxa" w:w="60"/>
              <w:bottom w:type="dxa" w:w="60"/>
              <w:right w:type="dxa" w:w="60"/>
            </w:tcMar>
          </w:tcPr>
          <w:p>
            <w:pPr>
              <w:spacing w:after="0" w:line="240"/>
              <w:jc w:val="center"/>
            </w:pPr>
            <w:r>
              <w:rPr>
                <w:rFonts w:ascii="Times New Roman" w:cs="Times New Roman" w:eastAsia="Times New Roman" w:hAnsi="Times New Roman"/>
                <w:b/>
                <w:bCs/>
                <w:i w:val="false"/>
                <w:iCs w:val="false"/>
                <w:sz w:val="22"/>
                <w:szCs w:val="22"/>
              </w:rPr>
              <w:t xml:space="preserve">Дата</w:t>
            </w:r>
          </w:p>
        </w:tc>
        <w:tc>
          <w:tcPr>
            <w:tcMar>
              <w:top w:type="dxa" w:w="60"/>
              <w:left w:type="dxa" w:w="60"/>
              <w:bottom w:type="dxa" w:w="60"/>
              <w:right w:type="dxa" w:w="60"/>
            </w:tcMar>
          </w:tcPr>
          <w:p>
            <w:pPr>
              <w:spacing w:after="0" w:line="240"/>
              <w:jc w:val="center"/>
            </w:pPr>
            <w:r>
              <w:rPr>
                <w:rFonts w:ascii="Times New Roman" w:cs="Times New Roman" w:eastAsia="Times New Roman" w:hAnsi="Times New Roman"/>
                <w:b/>
                <w:bCs/>
                <w:i w:val="false"/>
                <w:iCs w:val="false"/>
                <w:sz w:val="22"/>
                <w:szCs w:val="22"/>
              </w:rPr>
              <w:t xml:space="preserve">Подпись</w:t>
            </w:r>
          </w:p>
        </w:tc>
      </w:tr>
      <w:tr>
        <w:trPr>
          <w:cantSplit/>
        </w:trPr>
        <w:tc>
          <w:tcPr>
            <w:tcMar>
              <w:top w:type="dxa" w:w="100"/>
              <w:left w:type="dxa" w:w="60"/>
              <w:bottom w:type="dxa" w:w="100"/>
              <w:right w:type="dxa" w:w="60"/>
            </w:tcMar>
          </w:tcPr>
          <w:p>
            <w:pPr>
              <w:spacing w:after="0" w:line="240"/>
              <w:jc w:val="center"/>
            </w:pPr>
            <w:r>
              <w:rPr>
                <w:rFonts w:ascii="Times New Roman" w:cs="Times New Roman" w:eastAsia="Times New Roman" w:hAnsi="Times New Roman"/>
                <w:b w:val="false"/>
                <w:bCs w:val="false"/>
                <w:i w:val="false"/>
                <w:iCs w:val="false"/>
                <w:sz w:val="22"/>
                <w:szCs w:val="22"/>
              </w:rPr>
              <w:t xml:space="preserve">1</w:t>
            </w:r>
          </w:p>
        </w:tc>
        <w:tc>
          <w:tcPr>
            <w:tcMar>
              <w:top w:type="dxa" w:w="100"/>
              <w:left w:type="dxa" w:w="60"/>
              <w:bottom w:type="dxa" w:w="100"/>
              <w:right w:type="dxa" w:w="60"/>
            </w:tcMar>
          </w:tcPr>
          <w:p>
            <w:pPr>
              <w:spacing w:after="0" w:line="240"/>
              <w:jc w:val="center"/>
            </w:pPr>
            <w:r>
              <w:rPr>
                <w:rFonts w:ascii="Times New Roman" w:cs="Times New Roman" w:eastAsia="Times New Roman" w:hAnsi="Times New Roman"/>
                <w:b w:val="false"/>
                <w:bCs w:val="false"/>
                <w:i w:val="false"/>
                <w:iCs w:val="false"/>
                <w:sz w:val="22"/>
                <w:szCs w:val="22"/>
              </w:rPr>
              <w:t xml:space="preserve"/>
            </w:r>
          </w:p>
        </w:tc>
        <w:tc>
          <w:tcPr>
            <w:tcMar>
              <w:top w:type="dxa" w:w="100"/>
              <w:left w:type="dxa" w:w="60"/>
              <w:bottom w:type="dxa" w:w="100"/>
              <w:right w:type="dxa" w:w="60"/>
            </w:tcMar>
          </w:tcPr>
          <w:p>
            <w:pPr>
              <w:spacing w:after="0" w:line="240"/>
              <w:jc w:val="center"/>
            </w:pPr>
            <w:r>
              <w:rPr>
                <w:rFonts w:ascii="Times New Roman" w:cs="Times New Roman" w:eastAsia="Times New Roman" w:hAnsi="Times New Roman"/>
                <w:b w:val="false"/>
                <w:bCs w:val="false"/>
                <w:i w:val="false"/>
                <w:iCs w:val="false"/>
                <w:sz w:val="22"/>
                <w:szCs w:val="22"/>
              </w:rPr>
              <w:t xml:space="preserve"/>
            </w:r>
          </w:p>
        </w:tc>
        <w:tc>
          <w:tcPr>
            <w:tcMar>
              <w:top w:type="dxa" w:w="100"/>
              <w:left w:type="dxa" w:w="60"/>
              <w:bottom w:type="dxa" w:w="100"/>
              <w:right w:type="dxa" w:w="60"/>
            </w:tcMar>
          </w:tcPr>
          <w:p>
            <w:pPr>
              <w:spacing w:after="0" w:line="240"/>
              <w:jc w:val="center"/>
            </w:pPr>
            <w:r>
              <w:rPr>
                <w:rFonts w:ascii="Times New Roman" w:cs="Times New Roman" w:eastAsia="Times New Roman" w:hAnsi="Times New Roman"/>
                <w:b w:val="false"/>
                <w:bCs w:val="false"/>
                <w:i w:val="false"/>
                <w:iCs w:val="false"/>
                <w:sz w:val="22"/>
                <w:szCs w:val="22"/>
              </w:rPr>
              <w:t xml:space="preserve"/>
            </w:r>
          </w:p>
        </w:tc>
        <w:tc>
          <w:tcPr>
            <w:tcMar>
              <w:top w:type="dxa" w:w="100"/>
              <w:left w:type="dxa" w:w="60"/>
              <w:bottom w:type="dxa" w:w="100"/>
              <w:right w:type="dxa" w:w="60"/>
            </w:tcMar>
          </w:tcPr>
          <w:p>
            <w:pPr>
              <w:spacing w:after="0" w:line="240"/>
              <w:jc w:val="center"/>
            </w:pPr>
            <w:r>
              <w:rPr>
                <w:rFonts w:ascii="Times New Roman" w:cs="Times New Roman" w:eastAsia="Times New Roman" w:hAnsi="Times New Roman"/>
                <w:b w:val="false"/>
                <w:bCs w:val="false"/>
                <w:i w:val="false"/>
                <w:iCs w:val="false"/>
                <w:sz w:val="22"/>
                <w:szCs w:val="22"/>
              </w:rPr>
              <w:t xml:space="preserve"/>
            </w:r>
          </w:p>
        </w:tc>
      </w:tr>
      <w:tr>
        <w:trPr>
          <w:cantSplit/>
        </w:trPr>
        <w:tc>
          <w:tcPr>
            <w:tcMar>
              <w:top w:type="dxa" w:w="100"/>
              <w:left w:type="dxa" w:w="60"/>
              <w:bottom w:type="dxa" w:w="100"/>
              <w:right w:type="dxa" w:w="60"/>
            </w:tcMar>
          </w:tcPr>
          <w:p>
            <w:pPr>
              <w:spacing w:after="0" w:line="240"/>
              <w:jc w:val="center"/>
            </w:pPr>
            <w:r>
              <w:rPr>
                <w:rFonts w:ascii="Times New Roman" w:cs="Times New Roman" w:eastAsia="Times New Roman" w:hAnsi="Times New Roman"/>
                <w:b w:val="false"/>
                <w:bCs w:val="false"/>
                <w:i w:val="false"/>
                <w:iCs w:val="false"/>
                <w:sz w:val="22"/>
                <w:szCs w:val="22"/>
              </w:rPr>
              <w:t xml:space="preserve">2</w:t>
            </w:r>
          </w:p>
        </w:tc>
        <w:tc>
          <w:tcPr>
            <w:tcMar>
              <w:top w:type="dxa" w:w="100"/>
              <w:left w:type="dxa" w:w="60"/>
              <w:bottom w:type="dxa" w:w="100"/>
              <w:right w:type="dxa" w:w="60"/>
            </w:tcMar>
          </w:tcPr>
          <w:p>
            <w:pPr>
              <w:spacing w:after="0" w:line="240"/>
              <w:jc w:val="center"/>
            </w:pPr>
            <w:r>
              <w:rPr>
                <w:rFonts w:ascii="Times New Roman" w:cs="Times New Roman" w:eastAsia="Times New Roman" w:hAnsi="Times New Roman"/>
                <w:b w:val="false"/>
                <w:bCs w:val="false"/>
                <w:i w:val="false"/>
                <w:iCs w:val="false"/>
                <w:sz w:val="22"/>
                <w:szCs w:val="22"/>
              </w:rPr>
              <w:t xml:space="preserve"/>
            </w:r>
          </w:p>
        </w:tc>
        <w:tc>
          <w:tcPr>
            <w:tcMar>
              <w:top w:type="dxa" w:w="100"/>
              <w:left w:type="dxa" w:w="60"/>
              <w:bottom w:type="dxa" w:w="100"/>
              <w:right w:type="dxa" w:w="60"/>
            </w:tcMar>
          </w:tcPr>
          <w:p>
            <w:pPr>
              <w:spacing w:after="0" w:line="240"/>
              <w:jc w:val="center"/>
            </w:pPr>
            <w:r>
              <w:rPr>
                <w:rFonts w:ascii="Times New Roman" w:cs="Times New Roman" w:eastAsia="Times New Roman" w:hAnsi="Times New Roman"/>
                <w:b w:val="false"/>
                <w:bCs w:val="false"/>
                <w:i w:val="false"/>
                <w:iCs w:val="false"/>
                <w:sz w:val="22"/>
                <w:szCs w:val="22"/>
              </w:rPr>
              <w:t xml:space="preserve"/>
            </w:r>
          </w:p>
        </w:tc>
        <w:tc>
          <w:tcPr>
            <w:tcMar>
              <w:top w:type="dxa" w:w="100"/>
              <w:left w:type="dxa" w:w="60"/>
              <w:bottom w:type="dxa" w:w="100"/>
              <w:right w:type="dxa" w:w="60"/>
            </w:tcMar>
          </w:tcPr>
          <w:p>
            <w:pPr>
              <w:spacing w:after="0" w:line="240"/>
              <w:jc w:val="center"/>
            </w:pPr>
            <w:r>
              <w:rPr>
                <w:rFonts w:ascii="Times New Roman" w:cs="Times New Roman" w:eastAsia="Times New Roman" w:hAnsi="Times New Roman"/>
                <w:b w:val="false"/>
                <w:bCs w:val="false"/>
                <w:i w:val="false"/>
                <w:iCs w:val="false"/>
                <w:sz w:val="22"/>
                <w:szCs w:val="22"/>
              </w:rPr>
              <w:t xml:space="preserve"/>
            </w:r>
          </w:p>
        </w:tc>
        <w:tc>
          <w:tcPr>
            <w:tcMar>
              <w:top w:type="dxa" w:w="100"/>
              <w:left w:type="dxa" w:w="60"/>
              <w:bottom w:type="dxa" w:w="100"/>
              <w:right w:type="dxa" w:w="60"/>
            </w:tcMar>
          </w:tcPr>
          <w:p>
            <w:pPr>
              <w:spacing w:after="0" w:line="240"/>
              <w:jc w:val="center"/>
            </w:pPr>
            <w:r>
              <w:rPr>
                <w:rFonts w:ascii="Times New Roman" w:cs="Times New Roman" w:eastAsia="Times New Roman" w:hAnsi="Times New Roman"/>
                <w:b w:val="false"/>
                <w:bCs w:val="false"/>
                <w:i w:val="false"/>
                <w:iCs w:val="false"/>
                <w:sz w:val="22"/>
                <w:szCs w:val="22"/>
              </w:rPr>
              <w:t xml:space="preserve"/>
            </w:r>
          </w:p>
        </w:tc>
      </w:tr>
      <w:tr>
        <w:trPr>
          <w:cantSplit/>
        </w:trPr>
        <w:tc>
          <w:tcPr>
            <w:tcMar>
              <w:top w:type="dxa" w:w="100"/>
              <w:left w:type="dxa" w:w="60"/>
              <w:bottom w:type="dxa" w:w="100"/>
              <w:right w:type="dxa" w:w="60"/>
            </w:tcMar>
          </w:tcPr>
          <w:p>
            <w:pPr>
              <w:spacing w:after="0" w:line="240"/>
              <w:jc w:val="center"/>
            </w:pPr>
            <w:r>
              <w:rPr>
                <w:rFonts w:ascii="Times New Roman" w:cs="Times New Roman" w:eastAsia="Times New Roman" w:hAnsi="Times New Roman"/>
                <w:b w:val="false"/>
                <w:bCs w:val="false"/>
                <w:i w:val="false"/>
                <w:iCs w:val="false"/>
                <w:sz w:val="22"/>
                <w:szCs w:val="22"/>
              </w:rPr>
              <w:t xml:space="preserve">3</w:t>
            </w:r>
          </w:p>
        </w:tc>
        <w:tc>
          <w:tcPr>
            <w:tcMar>
              <w:top w:type="dxa" w:w="100"/>
              <w:left w:type="dxa" w:w="60"/>
              <w:bottom w:type="dxa" w:w="100"/>
              <w:right w:type="dxa" w:w="60"/>
            </w:tcMar>
          </w:tcPr>
          <w:p>
            <w:pPr>
              <w:spacing w:after="0" w:line="240"/>
              <w:jc w:val="center"/>
            </w:pPr>
            <w:r>
              <w:rPr>
                <w:rFonts w:ascii="Times New Roman" w:cs="Times New Roman" w:eastAsia="Times New Roman" w:hAnsi="Times New Roman"/>
                <w:b w:val="false"/>
                <w:bCs w:val="false"/>
                <w:i w:val="false"/>
                <w:iCs w:val="false"/>
                <w:sz w:val="22"/>
                <w:szCs w:val="22"/>
              </w:rPr>
              <w:t xml:space="preserve"/>
            </w:r>
          </w:p>
        </w:tc>
        <w:tc>
          <w:tcPr>
            <w:tcMar>
              <w:top w:type="dxa" w:w="100"/>
              <w:left w:type="dxa" w:w="60"/>
              <w:bottom w:type="dxa" w:w="100"/>
              <w:right w:type="dxa" w:w="60"/>
            </w:tcMar>
          </w:tcPr>
          <w:p>
            <w:pPr>
              <w:spacing w:after="0" w:line="240"/>
              <w:jc w:val="center"/>
            </w:pPr>
            <w:r>
              <w:rPr>
                <w:rFonts w:ascii="Times New Roman" w:cs="Times New Roman" w:eastAsia="Times New Roman" w:hAnsi="Times New Roman"/>
                <w:b w:val="false"/>
                <w:bCs w:val="false"/>
                <w:i w:val="false"/>
                <w:iCs w:val="false"/>
                <w:sz w:val="22"/>
                <w:szCs w:val="22"/>
              </w:rPr>
              <w:t xml:space="preserve"/>
            </w:r>
          </w:p>
        </w:tc>
        <w:tc>
          <w:tcPr>
            <w:tcMar>
              <w:top w:type="dxa" w:w="100"/>
              <w:left w:type="dxa" w:w="60"/>
              <w:bottom w:type="dxa" w:w="100"/>
              <w:right w:type="dxa" w:w="60"/>
            </w:tcMar>
          </w:tcPr>
          <w:p>
            <w:pPr>
              <w:spacing w:after="0" w:line="240"/>
              <w:jc w:val="center"/>
            </w:pPr>
            <w:r>
              <w:rPr>
                <w:rFonts w:ascii="Times New Roman" w:cs="Times New Roman" w:eastAsia="Times New Roman" w:hAnsi="Times New Roman"/>
                <w:b w:val="false"/>
                <w:bCs w:val="false"/>
                <w:i w:val="false"/>
                <w:iCs w:val="false"/>
                <w:sz w:val="22"/>
                <w:szCs w:val="22"/>
              </w:rPr>
              <w:t xml:space="preserve"/>
            </w:r>
          </w:p>
        </w:tc>
        <w:tc>
          <w:tcPr>
            <w:tcMar>
              <w:top w:type="dxa" w:w="100"/>
              <w:left w:type="dxa" w:w="60"/>
              <w:bottom w:type="dxa" w:w="100"/>
              <w:right w:type="dxa" w:w="60"/>
            </w:tcMar>
          </w:tcPr>
          <w:p>
            <w:pPr>
              <w:spacing w:after="0" w:line="240"/>
              <w:jc w:val="center"/>
            </w:pPr>
            <w:r>
              <w:rPr>
                <w:rFonts w:ascii="Times New Roman" w:cs="Times New Roman" w:eastAsia="Times New Roman" w:hAnsi="Times New Roman"/>
                <w:b w:val="false"/>
                <w:bCs w:val="false"/>
                <w:i w:val="false"/>
                <w:iCs w:val="false"/>
                <w:sz w:val="22"/>
                <w:szCs w:val="22"/>
              </w:rPr>
              <w:t xml:space="preserve"/>
            </w:r>
          </w:p>
        </w:tc>
      </w:tr>
      <w:tr>
        <w:trPr>
          <w:cantSplit/>
        </w:trPr>
        <w:tc>
          <w:tcPr>
            <w:tcMar>
              <w:top w:type="dxa" w:w="100"/>
              <w:left w:type="dxa" w:w="60"/>
              <w:bottom w:type="dxa" w:w="100"/>
              <w:right w:type="dxa" w:w="60"/>
            </w:tcMar>
          </w:tcPr>
          <w:p>
            <w:pPr>
              <w:spacing w:after="0" w:line="240"/>
              <w:jc w:val="center"/>
            </w:pPr>
            <w:r>
              <w:rPr>
                <w:rFonts w:ascii="Times New Roman" w:cs="Times New Roman" w:eastAsia="Times New Roman" w:hAnsi="Times New Roman"/>
                <w:b w:val="false"/>
                <w:bCs w:val="false"/>
                <w:i w:val="false"/>
                <w:iCs w:val="false"/>
                <w:sz w:val="22"/>
                <w:szCs w:val="22"/>
              </w:rPr>
              <w:t xml:space="preserve">4</w:t>
            </w:r>
          </w:p>
        </w:tc>
        <w:tc>
          <w:tcPr>
            <w:tcMar>
              <w:top w:type="dxa" w:w="100"/>
              <w:left w:type="dxa" w:w="60"/>
              <w:bottom w:type="dxa" w:w="100"/>
              <w:right w:type="dxa" w:w="60"/>
            </w:tcMar>
          </w:tcPr>
          <w:p>
            <w:pPr>
              <w:spacing w:after="0" w:line="240"/>
              <w:jc w:val="center"/>
            </w:pPr>
            <w:r>
              <w:rPr>
                <w:rFonts w:ascii="Times New Roman" w:cs="Times New Roman" w:eastAsia="Times New Roman" w:hAnsi="Times New Roman"/>
                <w:b w:val="false"/>
                <w:bCs w:val="false"/>
                <w:i w:val="false"/>
                <w:iCs w:val="false"/>
                <w:sz w:val="22"/>
                <w:szCs w:val="22"/>
              </w:rPr>
              <w:t xml:space="preserve"/>
            </w:r>
          </w:p>
        </w:tc>
        <w:tc>
          <w:tcPr>
            <w:tcMar>
              <w:top w:type="dxa" w:w="100"/>
              <w:left w:type="dxa" w:w="60"/>
              <w:bottom w:type="dxa" w:w="100"/>
              <w:right w:type="dxa" w:w="60"/>
            </w:tcMar>
          </w:tcPr>
          <w:p>
            <w:pPr>
              <w:spacing w:after="0" w:line="240"/>
              <w:jc w:val="center"/>
            </w:pPr>
            <w:r>
              <w:rPr>
                <w:rFonts w:ascii="Times New Roman" w:cs="Times New Roman" w:eastAsia="Times New Roman" w:hAnsi="Times New Roman"/>
                <w:b w:val="false"/>
                <w:bCs w:val="false"/>
                <w:i w:val="false"/>
                <w:iCs w:val="false"/>
                <w:sz w:val="22"/>
                <w:szCs w:val="22"/>
              </w:rPr>
              <w:t xml:space="preserve"/>
            </w:r>
          </w:p>
        </w:tc>
        <w:tc>
          <w:tcPr>
            <w:tcMar>
              <w:top w:type="dxa" w:w="100"/>
              <w:left w:type="dxa" w:w="60"/>
              <w:bottom w:type="dxa" w:w="100"/>
              <w:right w:type="dxa" w:w="60"/>
            </w:tcMar>
          </w:tcPr>
          <w:p>
            <w:pPr>
              <w:spacing w:after="0" w:line="240"/>
              <w:jc w:val="center"/>
            </w:pPr>
            <w:r>
              <w:rPr>
                <w:rFonts w:ascii="Times New Roman" w:cs="Times New Roman" w:eastAsia="Times New Roman" w:hAnsi="Times New Roman"/>
                <w:b w:val="false"/>
                <w:bCs w:val="false"/>
                <w:i w:val="false"/>
                <w:iCs w:val="false"/>
                <w:sz w:val="22"/>
                <w:szCs w:val="22"/>
              </w:rPr>
              <w:t xml:space="preserve"/>
            </w:r>
          </w:p>
        </w:tc>
        <w:tc>
          <w:tcPr>
            <w:tcMar>
              <w:top w:type="dxa" w:w="100"/>
              <w:left w:type="dxa" w:w="60"/>
              <w:bottom w:type="dxa" w:w="100"/>
              <w:right w:type="dxa" w:w="60"/>
            </w:tcMar>
          </w:tcPr>
          <w:p>
            <w:pPr>
              <w:spacing w:after="0" w:line="240"/>
              <w:jc w:val="center"/>
            </w:pPr>
            <w:r>
              <w:rPr>
                <w:rFonts w:ascii="Times New Roman" w:cs="Times New Roman" w:eastAsia="Times New Roman" w:hAnsi="Times New Roman"/>
                <w:b w:val="false"/>
                <w:bCs w:val="false"/>
                <w:i w:val="false"/>
                <w:iCs w:val="false"/>
                <w:sz w:val="22"/>
                <w:szCs w:val="22"/>
              </w:rPr>
              <w:t xml:space="preserve"/>
            </w:r>
          </w:p>
        </w:tc>
      </w:tr>
    </w:tbl>
    <w:p>
      <w:pPr>
        <w:spacing w:after="200" w:before="0" w:line="276"/>
        <w:ind w:left="0" w:firstLine="0"/>
        <w:jc w:val="both"/>
      </w:pPr>
      <w:r>
        <w:rPr>
          <w:rFonts w:ascii="Times New Roman" w:cs="Times New Roman" w:eastAsia="Times New Roman" w:hAnsi="Times New Roman"/>
          <w:b w:val="false"/>
          <w:bCs w:val="false"/>
          <w:i w:val="false"/>
          <w:iCs w:val="false"/>
          <w:caps w:val="false"/>
          <w:sz w:val="24"/>
          <w:szCs w:val="24"/>
        </w:rPr>
        <w:t xml:space="preserve"/>
      </w:r>
    </w:p>
    <w:p>
      <w:pPr>
        <w:spacing w:after="60" w:before="0" w:line="276"/>
        <w:ind w:left="0" w:firstLine="0"/>
        <w:jc w:val="both"/>
      </w:pPr>
      <w:r>
        <w:rPr>
          <w:rFonts w:ascii="Times New Roman" w:cs="Times New Roman" w:eastAsia="Times New Roman" w:hAnsi="Times New Roman"/>
          <w:b w:val="false"/>
          <w:bCs w:val="false"/>
          <w:i/>
          <w:iCs/>
          <w:caps w:val="false"/>
          <w:sz w:val="22"/>
          <w:szCs w:val="22"/>
        </w:rPr>
        <w:t xml:space="preserve">Справочно. Срок хранения индивидуальной должностной инструкции — 50/75 лет ЭПК (статья 443 Перечня типовых управленческих архивных документов, утверждённого приказом Росархива от 20 декабря 2019 г. № 236); типовой должностной инструкции — 3 года после замены новой (статья 442 того же Перечня). Должностная инструкция, оформленная приложением к трудовому договору, хранится вместе с трудовым договором (статья 435 Перечня). Настоящий документ оформлен по ГОСТ Р 7.0.97-2025; левое поле 30 мм установлено как для документов длительных (свыше 10 лет) сроков хранения (пункт 6.1 стандарта).</w:t>
      </w:r>
    </w:p>
    <w:sectPr>
      <w:headerReference w:type="default" r:id="rId7"/>
      <w:headerReference w:type="first" r:id="rId8"/>
      <w:footerReference w:type="default" r:id="rId9"/>
      <w:footerReference w:type="first" r:id="rId10"/>
      <w:pgSz w:w="11906" w:h="16838" w:orient="portrait"/>
      <w:pgMar w:top="1133" w:right="566" w:bottom="1133" w:left="1700" w:header="566" w:footer="566" w:gutter="0"/>
      <w:pgNumType/>
      <w:titlePg/>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spacing w:after="0" w:line="24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spacing w:after="0" w:line="240"/>
      <w:jc w:val="center"/>
    </w:pPr>
    <w:r>
      <w:rPr>
        <w:rFonts w:ascii="Times New Roman" w:cs="Times New Roman" w:eastAsia="Times New Roman" w:hAnsi="Times New Roman"/>
        <w:i/>
        <w:iCs/>
        <w:sz w:val="18"/>
        <w:szCs w:val="18"/>
      </w:rPr>
      <w:t xml:space="preserve">© АНО «Научно-образовательный центр педагогических проектов», 2026.</w:t>
    </w:r>
  </w:p>
  <w:p>
    <w:pPr>
      <w:spacing w:after="0" w:line="240"/>
      <w:jc w:val="center"/>
    </w:pPr>
    <w:r>
      <w:rPr>
        <w:rFonts w:ascii="Times New Roman" w:cs="Times New Roman" w:eastAsia="Times New Roman" w:hAnsi="Times New Roman"/>
        <w:i/>
        <w:iCs/>
        <w:sz w:val="18"/>
        <w:szCs w:val="18"/>
      </w:rPr>
      <w:t xml:space="preserve">Материал подготовлен в методических целях. Источник: педпроект.рф.</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spacing w:after="0" w:line="240"/>
      <w:jc w:val="center"/>
    </w:pPr>
    <w:r>
      <w:rPr>
        <w:rFonts w:ascii="Times New Roman" w:cs="Times New Roman" w:eastAsia="Times New Roman" w:hAnsi="Times New Roman"/>
        <w:sz w:val="24"/>
        <w:szCs w:val="24"/>
      </w:rPr>
      <w:fldChar w:fldCharType="begin"/>
      <w:instrText xml:space="preserve">PAGE</w:instrText>
      <w:fldChar w:fldCharType="separate"/>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spacing w:after="0" w:line="24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cs="Times New Roman" w:eastAsia="Times New Roman" w:hAnsi="Times New Roman"/>
        <w:sz w:val="24"/>
        <w:szCs w:val="24"/>
      </w:rPr>
    </w:rPrDefault>
    <w:pPrDefault>
      <w:pPr>
        <w:spacing w:line="276"/>
      </w:pPr>
    </w:pPrDefault>
  </w:docDefaults>
  <w:style w:type="paragraph" w:styleId="Title">
    <w:name w:val="Title"/>
    <w:basedOn w:val="Normal"/>
    <w:next w:val="Normal"/>
    <w:qFormat/>
    <w:rPr>
      <w:sz w:val="56"/>
      <w:szCs w:val="56"/>
    </w:rPr>
  </w:style>
  <w:style w:type="paragraph" w:styleId="Heading1">
    <w:name w:val="Heading 1"/>
    <w:basedOn w:val="Normal"/>
    <w:next w:val="Normal"/>
    <w:qFormat/>
    <w:pPr>
      <w:keepNext/>
      <w:spacing w:after="120" w:before="240" w:line="276"/>
      <w:jc w:val="center"/>
      <w:outlineLvl w:val="0"/>
    </w:pPr>
    <w:rPr>
      <w:rFonts w:ascii="Times New Roman" w:cs="Times New Roman" w:eastAsia="Times New Roman" w:hAnsi="Times New Roman"/>
      <w:b/>
      <w:bCs/>
      <w:color w:val="000000"/>
      <w:sz w:val="28"/>
      <w:szCs w:val="28"/>
    </w:rPr>
  </w:style>
  <w:style w:type="paragraph" w:styleId="Heading2">
    <w:name w:val="Heading 2"/>
    <w:basedOn w:val="Normal"/>
    <w:next w:val="Normal"/>
    <w:qFormat/>
    <w:pPr>
      <w:keepNext/>
      <w:spacing w:after="60" w:before="120" w:line="276"/>
      <w:jc w:val="left"/>
      <w:outlineLvl w:val="1"/>
    </w:pPr>
    <w:rPr>
      <w:rFonts w:ascii="Times New Roman" w:cs="Times New Roman" w:eastAsia="Times New Roman" w:hAnsi="Times New Roman"/>
      <w:b/>
      <w:bCs/>
      <w:i/>
      <w:iCs/>
      <w:color w:val="000000"/>
      <w:sz w:val="24"/>
      <w:szCs w:val="24"/>
    </w:rPr>
  </w:style>
  <w:style w:type="paragraph" w:styleId="Heading3">
    <w:name w:val="Heading 3"/>
    <w:basedOn w:val="Normal"/>
    <w:next w:val="Normal"/>
    <w:qFormat/>
    <w:pPr>
      <w:keepNext/>
      <w:spacing w:after="60" w:before="120" w:line="276"/>
      <w:jc w:val="left"/>
      <w:outlineLvl w:val="2"/>
    </w:pPr>
    <w:rPr>
      <w:rFonts w:ascii="Times New Roman" w:cs="Times New Roman" w:eastAsia="Times New Roman" w:hAnsi="Times New Roman"/>
      <w:b/>
      <w:bCs/>
      <w:color w:val="000000"/>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header" Target="header2.xml"/><Relationship Id="rId9" Type="http://schemas.openxmlformats.org/officeDocument/2006/relationships/footer" Target="footer1.xml"/><Relationship Id="rId10" Type="http://schemas.openxmlformats.org/officeDocument/2006/relationships/footer" Target="footer2.xml"/><Relationship Id="rId11"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er2.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word/_rels/header2.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Должностная инструкция учителя</dc:title>
  <dc:creator>АНО «НОЦ ПЕДПРОЕКТОВ»; педпроект.рф</dc:creator>
  <dc:description>Должностная инструкция учителя общеобразовательной организации на 2026/2027 учебный год</dc:description>
  <cp:lastModifiedBy>Un-named</cp:lastModifiedBy>
  <cp:revision>1</cp:revision>
  <dcterms:created xsi:type="dcterms:W3CDTF">2026-08-26T14:08:38Z</dcterms:created>
  <dcterms:modified xsi:type="dcterms:W3CDTF">2026-08-26T14:08:38Z</dcterms:modified>
</cp:coreProperties>
</file>

<file path=docProps/custom.xml><?xml version="1.0" encoding="utf-8"?>
<Properties xmlns="http://schemas.openxmlformats.org/officeDocument/2006/custom-properties" xmlns:vt="http://schemas.openxmlformats.org/officeDocument/2006/docPropsVTypes"/>
</file>